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1AC16" w14:textId="77777777" w:rsidR="00DE73EB" w:rsidRDefault="00DE73EB" w:rsidP="00DE73EB">
      <w:pPr>
        <w:spacing w:after="0" w:line="240" w:lineRule="auto"/>
        <w:jc w:val="right"/>
        <w:rPr>
          <w:rFonts w:ascii="Cambria" w:hAnsi="Cambria" w:cs="Times New Roman"/>
          <w:b/>
          <w:sz w:val="24"/>
          <w:szCs w:val="24"/>
          <w:lang w:val="en-US"/>
        </w:rPr>
      </w:pPr>
      <w:r w:rsidRPr="00DE73EB">
        <w:rPr>
          <w:rFonts w:ascii="Times New Roman" w:hAnsi="Times New Roman" w:cs="Times New Roman"/>
          <w:b/>
          <w:noProof/>
          <w:color w:val="000000" w:themeColor="text1"/>
          <w:sz w:val="36"/>
          <w:szCs w:val="24"/>
          <w:lang w:val="en-US"/>
        </w:rPr>
        <w:drawing>
          <wp:anchor distT="0" distB="0" distL="114300" distR="114300" simplePos="0" relativeHeight="251662336" behindDoc="1" locked="0" layoutInCell="1" allowOverlap="1" wp14:anchorId="3F59C80A" wp14:editId="725BEC57">
            <wp:simplePos x="0" y="0"/>
            <wp:positionH relativeFrom="margin">
              <wp:posOffset>319850</wp:posOffset>
            </wp:positionH>
            <wp:positionV relativeFrom="paragraph">
              <wp:posOffset>-26670</wp:posOffset>
            </wp:positionV>
            <wp:extent cx="1781298" cy="590757"/>
            <wp:effectExtent l="0" t="0" r="0" b="0"/>
            <wp:wrapNone/>
            <wp:docPr id="3" name="Рисунок 3" descr="C:\Users\Defender\Downloads\Telegram Desktop\image_2023-03-14_19-5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fender\Downloads\Telegram Desktop\image_2023-03-14_19-55-5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298" cy="5907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43D2" w:rsidRPr="00F943D2">
        <w:rPr>
          <w:rFonts w:ascii="Cambria" w:hAnsi="Cambria" w:cs="Times New Roman"/>
          <w:b/>
          <w:sz w:val="24"/>
          <w:szCs w:val="24"/>
          <w:lang w:val="en-US"/>
        </w:rPr>
        <w:t xml:space="preserve">AMERICAN Journal </w:t>
      </w:r>
      <w:r w:rsidRPr="00DE73EB">
        <w:rPr>
          <w:rFonts w:ascii="Cambria" w:hAnsi="Cambria" w:cs="Times New Roman"/>
          <w:b/>
          <w:sz w:val="24"/>
          <w:szCs w:val="24"/>
          <w:lang w:val="en-US"/>
        </w:rPr>
        <w:t xml:space="preserve">of Engineering, </w:t>
      </w:r>
    </w:p>
    <w:p w14:paraId="30039DDC" w14:textId="77777777" w:rsidR="00F943D2" w:rsidRDefault="00DE73EB" w:rsidP="00DE73EB">
      <w:pPr>
        <w:spacing w:after="0" w:line="240" w:lineRule="auto"/>
        <w:jc w:val="right"/>
        <w:rPr>
          <w:noProof/>
          <w:lang w:val="en-US" w:eastAsia="ru-RU"/>
        </w:rPr>
      </w:pPr>
      <w:r w:rsidRPr="00DE73EB">
        <w:rPr>
          <w:rFonts w:ascii="Cambria" w:hAnsi="Cambria" w:cs="Times New Roman"/>
          <w:b/>
          <w:sz w:val="24"/>
          <w:szCs w:val="24"/>
          <w:lang w:val="en-US"/>
        </w:rPr>
        <w:t>Mechanics and Architecture</w:t>
      </w:r>
    </w:p>
    <w:p w14:paraId="15CBE0E8" w14:textId="2A42CCCF" w:rsidR="002C036C" w:rsidRPr="005D3ACF" w:rsidRDefault="00506721" w:rsidP="002C036C">
      <w:pPr>
        <w:spacing w:after="0" w:line="240" w:lineRule="auto"/>
        <w:ind w:left="-567"/>
        <w:jc w:val="right"/>
        <w:rPr>
          <w:rFonts w:ascii="Cambria" w:hAnsi="Cambria"/>
          <w:i/>
          <w:color w:val="000000" w:themeColor="text1"/>
          <w:sz w:val="24"/>
          <w:szCs w:val="24"/>
          <w:lang w:val="en-US"/>
        </w:rPr>
      </w:pPr>
      <w:r>
        <w:rPr>
          <w:rFonts w:ascii="Cambria" w:hAnsi="Cambria"/>
          <w:i/>
          <w:color w:val="000000" w:themeColor="text1"/>
          <w:sz w:val="24"/>
          <w:szCs w:val="24"/>
          <w:lang w:val="en-US"/>
        </w:rPr>
        <w:t xml:space="preserve">Volume </w:t>
      </w:r>
      <w:r w:rsidR="005D3ACF">
        <w:rPr>
          <w:rFonts w:ascii="Cambria" w:hAnsi="Cambria"/>
          <w:i/>
          <w:color w:val="000000" w:themeColor="text1"/>
          <w:sz w:val="24"/>
          <w:szCs w:val="24"/>
          <w:lang w:val="en-US"/>
        </w:rPr>
        <w:t>2</w:t>
      </w:r>
      <w:r>
        <w:rPr>
          <w:rFonts w:ascii="Cambria" w:hAnsi="Cambria"/>
          <w:i/>
          <w:color w:val="000000" w:themeColor="text1"/>
          <w:sz w:val="24"/>
          <w:szCs w:val="24"/>
          <w:lang w:val="en-US"/>
        </w:rPr>
        <w:t xml:space="preserve">, Issue </w:t>
      </w:r>
      <w:r w:rsidR="00BD0805">
        <w:rPr>
          <w:rFonts w:ascii="Cambria" w:hAnsi="Cambria"/>
          <w:i/>
          <w:color w:val="000000" w:themeColor="text1"/>
          <w:sz w:val="24"/>
          <w:szCs w:val="24"/>
          <w:lang w:val="en-US"/>
        </w:rPr>
        <w:t>12</w:t>
      </w:r>
      <w:r w:rsidR="002C036C" w:rsidRPr="002C036C">
        <w:rPr>
          <w:rFonts w:ascii="Cambria" w:hAnsi="Cambria"/>
          <w:i/>
          <w:color w:val="000000" w:themeColor="text1"/>
          <w:sz w:val="24"/>
          <w:szCs w:val="24"/>
          <w:lang w:val="en-US"/>
        </w:rPr>
        <w:t>, 202</w:t>
      </w:r>
      <w:r w:rsidR="005D3ACF">
        <w:rPr>
          <w:rFonts w:ascii="Cambria" w:hAnsi="Cambria"/>
          <w:i/>
          <w:color w:val="000000" w:themeColor="text1"/>
          <w:sz w:val="24"/>
          <w:szCs w:val="24"/>
          <w:lang w:val="en-US"/>
        </w:rPr>
        <w:t>4</w:t>
      </w:r>
      <w:r w:rsidR="00414C3B">
        <w:rPr>
          <w:rFonts w:ascii="Cambria" w:hAnsi="Cambria"/>
          <w:i/>
          <w:color w:val="000000" w:themeColor="text1"/>
          <w:sz w:val="24"/>
          <w:szCs w:val="24"/>
          <w:lang w:val="en-US"/>
        </w:rPr>
        <w:t xml:space="preserve"> </w:t>
      </w:r>
      <w:r w:rsidR="002C036C" w:rsidRPr="002C036C">
        <w:rPr>
          <w:rFonts w:ascii="Cambria" w:hAnsi="Cambria"/>
          <w:i/>
          <w:color w:val="000000" w:themeColor="text1"/>
          <w:sz w:val="24"/>
          <w:szCs w:val="24"/>
          <w:lang w:val="en-US"/>
        </w:rPr>
        <w:t xml:space="preserve">ISSN (E): </w:t>
      </w:r>
      <w:r w:rsidR="005D3ACF">
        <w:rPr>
          <w:rFonts w:ascii="Cambria" w:hAnsi="Cambria"/>
          <w:i/>
          <w:color w:val="000000" w:themeColor="text1"/>
          <w:sz w:val="24"/>
          <w:szCs w:val="24"/>
          <w:lang w:val="en-US"/>
        </w:rPr>
        <w:t>2993-2637</w:t>
      </w:r>
    </w:p>
    <w:p w14:paraId="497FF1E8" w14:textId="77777777" w:rsidR="000057D5" w:rsidRPr="002C036C" w:rsidRDefault="000057D5" w:rsidP="00105587">
      <w:pPr>
        <w:spacing w:after="0" w:line="240" w:lineRule="auto"/>
        <w:jc w:val="center"/>
        <w:rPr>
          <w:rFonts w:ascii="Times New Roman" w:hAnsi="Times New Roman" w:cs="Times New Roman"/>
          <w:b/>
          <w:color w:val="000000" w:themeColor="text1"/>
          <w:sz w:val="36"/>
          <w:szCs w:val="24"/>
          <w:lang w:val="en-US"/>
        </w:rPr>
      </w:pPr>
    </w:p>
    <w:p w14:paraId="4C703203" w14:textId="77777777" w:rsidR="00425518" w:rsidRPr="00DE73EB" w:rsidRDefault="00DE73EB" w:rsidP="00DE73EB">
      <w:pPr>
        <w:tabs>
          <w:tab w:val="left" w:pos="3871"/>
        </w:tabs>
        <w:spacing w:after="0" w:line="240" w:lineRule="auto"/>
        <w:rPr>
          <w:rFonts w:ascii="Times New Roman" w:hAnsi="Times New Roman" w:cs="Times New Roman"/>
          <w:b/>
          <w:color w:val="006699"/>
          <w:sz w:val="32"/>
          <w:szCs w:val="32"/>
          <w:lang w:val="en-US"/>
        </w:rPr>
      </w:pPr>
      <w:r>
        <w:rPr>
          <w:rFonts w:ascii="Times New Roman" w:hAnsi="Times New Roman" w:cs="Times New Roman"/>
          <w:b/>
          <w:color w:val="006699"/>
          <w:sz w:val="32"/>
          <w:szCs w:val="32"/>
          <w:lang w:val="en-US"/>
        </w:rPr>
        <w:tab/>
      </w:r>
    </w:p>
    <w:p w14:paraId="073B8A0A" w14:textId="4A51D5E1" w:rsidR="00DE73EB" w:rsidRPr="00DE73EB" w:rsidRDefault="00017CBE" w:rsidP="00DE73EB">
      <w:pPr>
        <w:spacing w:after="0" w:line="276" w:lineRule="auto"/>
        <w:jc w:val="center"/>
        <w:rPr>
          <w:rFonts w:ascii="Times New Roman" w:hAnsi="Times New Roman" w:cs="Times New Roman"/>
          <w:b/>
          <w:color w:val="0099CC"/>
          <w:sz w:val="32"/>
          <w:szCs w:val="32"/>
          <w:lang w:val="en-US"/>
        </w:rPr>
      </w:pPr>
      <w:r w:rsidRPr="00017CBE">
        <w:rPr>
          <w:rFonts w:ascii="Times New Roman" w:hAnsi="Times New Roman" w:cs="Times New Roman"/>
          <w:b/>
          <w:color w:val="0099CC"/>
          <w:sz w:val="32"/>
          <w:szCs w:val="32"/>
          <w:lang w:val="en-US"/>
        </w:rPr>
        <w:t>Industry 4.0-Oriented CAD/CAM Framework for Real-Time Monitoring of Manufacturing Operations</w:t>
      </w:r>
    </w:p>
    <w:p w14:paraId="122B5928" w14:textId="77777777" w:rsidR="00DE73EB" w:rsidRPr="00DE73EB" w:rsidRDefault="00DE73EB" w:rsidP="00DE73EB">
      <w:pPr>
        <w:spacing w:after="0" w:line="276" w:lineRule="auto"/>
        <w:jc w:val="center"/>
        <w:rPr>
          <w:rFonts w:ascii="Times New Roman" w:hAnsi="Times New Roman" w:cs="Times New Roman"/>
          <w:b/>
          <w:sz w:val="24"/>
          <w:szCs w:val="24"/>
          <w:lang w:val="en-US"/>
        </w:rPr>
      </w:pPr>
    </w:p>
    <w:p w14:paraId="24081DDD" w14:textId="29E286DA" w:rsidR="00DE73EB" w:rsidRPr="00DE73EB" w:rsidRDefault="00017CBE" w:rsidP="00DE73EB">
      <w:pPr>
        <w:spacing w:before="120" w:after="0" w:line="276" w:lineRule="auto"/>
        <w:jc w:val="center"/>
        <w:rPr>
          <w:rFonts w:ascii="Times New Roman" w:hAnsi="Times New Roman" w:cs="Times New Roman"/>
          <w:b/>
          <w:sz w:val="24"/>
          <w:szCs w:val="24"/>
          <w:vertAlign w:val="superscript"/>
          <w:lang w:val="en-GB"/>
        </w:rPr>
      </w:pPr>
      <w:r w:rsidRPr="00017CBE">
        <w:rPr>
          <w:rFonts w:ascii="Times New Roman" w:hAnsi="Times New Roman" w:cs="Times New Roman"/>
          <w:b/>
          <w:sz w:val="24"/>
          <w:szCs w:val="24"/>
          <w:lang w:val="en-GB"/>
        </w:rPr>
        <w:t xml:space="preserve">Nikunj Chandrakant </w:t>
      </w:r>
      <w:proofErr w:type="spellStart"/>
      <w:r w:rsidRPr="00017CBE">
        <w:rPr>
          <w:rFonts w:ascii="Times New Roman" w:hAnsi="Times New Roman" w:cs="Times New Roman"/>
          <w:b/>
          <w:sz w:val="24"/>
          <w:szCs w:val="24"/>
          <w:lang w:val="en-GB"/>
        </w:rPr>
        <w:t>Gediya</w:t>
      </w:r>
      <w:proofErr w:type="spellEnd"/>
    </w:p>
    <w:p w14:paraId="666E61F4" w14:textId="1BBFEB58" w:rsidR="00DE73EB" w:rsidRPr="00017CBE" w:rsidRDefault="00017CBE" w:rsidP="00017CBE">
      <w:pPr>
        <w:spacing w:after="0" w:line="276" w:lineRule="auto"/>
        <w:jc w:val="center"/>
        <w:rPr>
          <w:rFonts w:ascii="Times New Roman" w:hAnsi="Times New Roman" w:cs="Times New Roman"/>
          <w:i/>
          <w:sz w:val="24"/>
          <w:szCs w:val="24"/>
          <w:lang w:val="en-GB"/>
        </w:rPr>
      </w:pPr>
      <w:r w:rsidRPr="00017CBE">
        <w:rPr>
          <w:rFonts w:ascii="Times New Roman" w:hAnsi="Times New Roman" w:cs="Times New Roman"/>
          <w:i/>
          <w:sz w:val="24"/>
          <w:szCs w:val="24"/>
          <w:lang w:val="en-GB"/>
        </w:rPr>
        <w:t>Department of Mechanical, Robotics, and Industrial Engineering</w:t>
      </w:r>
      <w:r>
        <w:rPr>
          <w:rFonts w:ascii="Times New Roman" w:hAnsi="Times New Roman" w:cs="Times New Roman"/>
          <w:i/>
          <w:sz w:val="24"/>
          <w:szCs w:val="24"/>
          <w:lang w:val="en-GB"/>
        </w:rPr>
        <w:t xml:space="preserve">, </w:t>
      </w:r>
      <w:r w:rsidRPr="00017CBE">
        <w:rPr>
          <w:rFonts w:ascii="Times New Roman" w:hAnsi="Times New Roman" w:cs="Times New Roman"/>
          <w:i/>
          <w:sz w:val="24"/>
          <w:szCs w:val="24"/>
          <w:lang w:val="en-GB"/>
        </w:rPr>
        <w:t>Lawrence Technological University, Southfield, Mi, USA</w:t>
      </w:r>
    </w:p>
    <w:p w14:paraId="33B0B019" w14:textId="159DCF7C" w:rsidR="00DE73EB" w:rsidRPr="00DE73EB" w:rsidRDefault="00DE73EB" w:rsidP="00506721">
      <w:pPr>
        <w:pStyle w:val="ListParagraph"/>
        <w:spacing w:before="240" w:after="120" w:line="240" w:lineRule="auto"/>
        <w:ind w:left="0"/>
        <w:contextualSpacing w:val="0"/>
        <w:jc w:val="both"/>
        <w:rPr>
          <w:rFonts w:ascii="Times New Roman" w:hAnsi="Times New Roman" w:cs="Times New Roman"/>
          <w:sz w:val="24"/>
          <w:szCs w:val="24"/>
        </w:rPr>
      </w:pPr>
      <w:r w:rsidRPr="00DE73EB">
        <w:rPr>
          <w:rFonts w:ascii="Times New Roman" w:hAnsi="Times New Roman" w:cs="Times New Roman"/>
          <w:i/>
          <w:sz w:val="24"/>
          <w:szCs w:val="24"/>
          <w:lang w:val="en-GB"/>
        </w:rPr>
        <w:br/>
      </w:r>
      <w:r w:rsidR="00506721" w:rsidRPr="00DE73EB">
        <w:rPr>
          <w:rFonts w:ascii="Times New Roman" w:hAnsi="Times New Roman" w:cs="Times New Roman"/>
          <w:b/>
          <w:bCs/>
          <w:color w:val="0099CC"/>
          <w:sz w:val="24"/>
          <w:szCs w:val="24"/>
        </w:rPr>
        <w:t>Abstract</w:t>
      </w:r>
      <w:r w:rsidR="00506721">
        <w:rPr>
          <w:rFonts w:ascii="Times New Roman" w:hAnsi="Times New Roman" w:cs="Times New Roman"/>
          <w:b/>
          <w:bCs/>
          <w:color w:val="0099CC"/>
          <w:sz w:val="24"/>
          <w:szCs w:val="24"/>
        </w:rPr>
        <w:t>:</w:t>
      </w:r>
      <w:r w:rsidR="00506721" w:rsidRPr="00DE73EB">
        <w:rPr>
          <w:rFonts w:ascii="Times New Roman" w:hAnsi="Times New Roman" w:cs="Times New Roman"/>
          <w:sz w:val="24"/>
          <w:szCs w:val="24"/>
        </w:rPr>
        <w:t xml:space="preserve"> </w:t>
      </w:r>
      <w:r w:rsidR="00017CBE" w:rsidRPr="00017CBE">
        <w:rPr>
          <w:rFonts w:ascii="Times New Roman" w:hAnsi="Times New Roman" w:cs="Times New Roman"/>
          <w:sz w:val="24"/>
          <w:szCs w:val="24"/>
        </w:rPr>
        <w:t>Industry 4.0 emphasizes the integration of digital technologies with physical manufacturing systems to achieve intelligent, connected, and adaptive production environments. In this context, the integration of Computer-Aided Design (CAD) and Computer-Aided Manufacturing (CAM) with real-time shop-floor monitoring has become a key research area. Traditional CAD/CAM systems primarily focus on offline design and process planning, with limited feedback from actual manufacturing operations. This paper proposes an Industry 4.0–oriented CAD/CAM framework that enables real-time monitoring of manufacturing operations using Industrial Internet of Things (</w:t>
      </w:r>
      <w:proofErr w:type="spellStart"/>
      <w:r w:rsidR="00017CBE" w:rsidRPr="00017CBE">
        <w:rPr>
          <w:rFonts w:ascii="Times New Roman" w:hAnsi="Times New Roman" w:cs="Times New Roman"/>
          <w:sz w:val="24"/>
          <w:szCs w:val="24"/>
        </w:rPr>
        <w:t>IIoT</w:t>
      </w:r>
      <w:proofErr w:type="spellEnd"/>
      <w:r w:rsidR="00017CBE" w:rsidRPr="00017CBE">
        <w:rPr>
          <w:rFonts w:ascii="Times New Roman" w:hAnsi="Times New Roman" w:cs="Times New Roman"/>
          <w:sz w:val="24"/>
          <w:szCs w:val="24"/>
        </w:rPr>
        <w:t>), edge computing, and digital twin concepts. The framework establishes a closed-loop connection between design, manufacturing execution, and monitoring layers. A literature review of recent research highlights existing approaches and gaps. The proposed framework is validated through a CNC machining case study, and results demonstrate improvements in monitoring latency, process visibility, and operational efficiency.</w:t>
      </w:r>
      <w:r w:rsidRPr="00DE73EB">
        <w:rPr>
          <w:rFonts w:ascii="Times New Roman" w:hAnsi="Times New Roman" w:cs="Times New Roman"/>
          <w:sz w:val="24"/>
          <w:szCs w:val="24"/>
        </w:rPr>
        <w:t xml:space="preserve"> </w:t>
      </w:r>
    </w:p>
    <w:p w14:paraId="1C607C7C" w14:textId="794F539D" w:rsidR="00DE73EB" w:rsidRPr="00506721" w:rsidRDefault="00DE73EB" w:rsidP="002C7E24">
      <w:pPr>
        <w:spacing w:after="0" w:line="240" w:lineRule="auto"/>
        <w:jc w:val="both"/>
        <w:rPr>
          <w:rFonts w:ascii="Times New Roman" w:hAnsi="Times New Roman" w:cs="Times New Roman"/>
          <w:iCs/>
          <w:sz w:val="24"/>
          <w:szCs w:val="24"/>
          <w:lang w:val="en-GB"/>
        </w:rPr>
      </w:pPr>
      <w:r w:rsidRPr="00506721">
        <w:rPr>
          <w:rFonts w:ascii="Times New Roman" w:hAnsi="Times New Roman" w:cs="Times New Roman"/>
          <w:b/>
          <w:iCs/>
          <w:color w:val="0099CC"/>
          <w:sz w:val="24"/>
          <w:szCs w:val="24"/>
          <w:lang w:val="en-GB"/>
        </w:rPr>
        <w:t>Keywords</w:t>
      </w:r>
      <w:r w:rsidR="00506721" w:rsidRPr="00506721">
        <w:rPr>
          <w:rFonts w:ascii="Times New Roman" w:hAnsi="Times New Roman" w:cs="Times New Roman"/>
          <w:b/>
          <w:iCs/>
          <w:color w:val="0099CC"/>
          <w:sz w:val="24"/>
          <w:szCs w:val="24"/>
          <w:lang w:val="en-GB"/>
        </w:rPr>
        <w:t>:</w:t>
      </w:r>
      <w:r w:rsidR="00017CBE">
        <w:rPr>
          <w:rFonts w:ascii="Times New Roman" w:hAnsi="Times New Roman" w:cs="Times New Roman"/>
          <w:b/>
          <w:iCs/>
          <w:color w:val="0099CC"/>
          <w:sz w:val="24"/>
          <w:szCs w:val="24"/>
          <w:lang w:val="en-GB"/>
        </w:rPr>
        <w:t xml:space="preserve"> </w:t>
      </w:r>
      <w:r w:rsidR="00017CBE" w:rsidRPr="00017CBE">
        <w:rPr>
          <w:rFonts w:ascii="Times New Roman" w:hAnsi="Times New Roman" w:cs="Times New Roman"/>
          <w:iCs/>
          <w:sz w:val="24"/>
          <w:szCs w:val="24"/>
          <w:lang w:val="en-GB"/>
        </w:rPr>
        <w:t xml:space="preserve">Industry 4.0, CAD/CAM Integration, Real-Time Monitoring, </w:t>
      </w:r>
      <w:proofErr w:type="spellStart"/>
      <w:r w:rsidR="00017CBE" w:rsidRPr="00017CBE">
        <w:rPr>
          <w:rFonts w:ascii="Times New Roman" w:hAnsi="Times New Roman" w:cs="Times New Roman"/>
          <w:iCs/>
          <w:sz w:val="24"/>
          <w:szCs w:val="24"/>
          <w:lang w:val="en-GB"/>
        </w:rPr>
        <w:t>IIoT</w:t>
      </w:r>
      <w:proofErr w:type="spellEnd"/>
      <w:r w:rsidR="00017CBE" w:rsidRPr="00017CBE">
        <w:rPr>
          <w:rFonts w:ascii="Times New Roman" w:hAnsi="Times New Roman" w:cs="Times New Roman"/>
          <w:iCs/>
          <w:sz w:val="24"/>
          <w:szCs w:val="24"/>
          <w:lang w:val="en-GB"/>
        </w:rPr>
        <w:t>, Digital Twin, CNC Machining.</w:t>
      </w:r>
    </w:p>
    <w:p w14:paraId="3C946CE0" w14:textId="77777777" w:rsidR="00DE73EB" w:rsidRDefault="00DE73EB" w:rsidP="00DE73EB">
      <w:pPr>
        <w:spacing w:after="0" w:line="276" w:lineRule="auto"/>
        <w:rPr>
          <w:rFonts w:ascii="Times New Roman" w:hAnsi="Times New Roman" w:cs="Times New Roman"/>
          <w:sz w:val="24"/>
          <w:szCs w:val="24"/>
          <w:lang w:val="en-US"/>
        </w:rPr>
      </w:pPr>
    </w:p>
    <w:p w14:paraId="2521A053" w14:textId="77777777" w:rsidR="002C7E24" w:rsidRPr="00DE73EB" w:rsidRDefault="002C7E24" w:rsidP="00DE73EB">
      <w:pPr>
        <w:spacing w:after="0" w:line="276" w:lineRule="auto"/>
        <w:rPr>
          <w:rFonts w:ascii="Times New Roman" w:hAnsi="Times New Roman" w:cs="Times New Roman"/>
          <w:sz w:val="24"/>
          <w:szCs w:val="24"/>
          <w:lang w:val="en-US"/>
        </w:rPr>
      </w:pPr>
    </w:p>
    <w:p w14:paraId="3FAF9A22" w14:textId="77777777"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1. Introduction</w:t>
      </w:r>
    </w:p>
    <w:p w14:paraId="4EB8E4F0"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Manufacturing industries worldwide are experiencing a fundamental transformation driven by the emergence of Industry 4.0, which represents the fourth industrial revolution [1-2]. Industry 4.0 integrates advanced technologies such as cyber-physical systems, the Industrial Internet of Things (IIoT), cloud computing, and data analytics to create intelligent, connected, and autonomous manufacturing environments [1, 3]. In such systems, physical machines are continuously connected to digital platforms, enabling real-time data exchange and decision-making. This transformation aims to improve productivity, flexibility, product quality, and resource efficiency in modern manufacturing operations [4-5].</w:t>
      </w:r>
    </w:p>
    <w:p w14:paraId="2633BC2E"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Despite these technological advancements, one of the major challenges in today’s manufacturing environment is the lack of seamless integration between design systems and real-time production systems. Computer-Aided Design (CAD) and Computer-Aided Manufacturing (CAM) systems play a critical role in the early stages of product development and manufacturing planning. CAD systems are used to create detailed product geometry and specifications, while CAM systems convert these designs into machining instructions such as toolpaths, cutting parameters, and numerical control (NC) programs [2, 6-7]. However, in most conventional manufacturing setups, CAD and CAM systems operate as offline tools, meaning they do not receive continuous feedback from the shop floor once machining begins.</w:t>
      </w:r>
    </w:p>
    <w:p w14:paraId="29C70741"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lastRenderedPageBreak/>
        <w:t>Because of this isolation, any deviations that occur during the manufacturing process are not immediately reflected in the design or process planning stages. Common manufacturing deviations include tool wear, excessive vibration, thermal expansion, and dimensional inaccuracies [8-9]. These issues often develop gradually and remain undetected until post-process inspection or machine failure occurs. As a result, defective parts may be produced, leading to higher scrap rates, increased rework, and unexpected machine downtime, all of which negatively impact production efficiency and cost [10]. The Fig. 1 shows the Industry 4.0 Integrated CAD-CAM Framework.</w:t>
      </w:r>
    </w:p>
    <w:p w14:paraId="536E1A95" w14:textId="77777777"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noProof/>
          <w:color w:val="000000" w:themeColor="text1"/>
          <w:sz w:val="24"/>
          <w:szCs w:val="24"/>
        </w:rPr>
        <w:drawing>
          <wp:inline distT="0" distB="0" distL="0" distR="0" wp14:anchorId="5538B38E" wp14:editId="107D022F">
            <wp:extent cx="4584521" cy="5086350"/>
            <wp:effectExtent l="0" t="0" r="6985" b="0"/>
            <wp:docPr id="209028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89390" name=""/>
                    <pic:cNvPicPr/>
                  </pic:nvPicPr>
                  <pic:blipFill>
                    <a:blip r:embed="rId8"/>
                    <a:stretch>
                      <a:fillRect/>
                    </a:stretch>
                  </pic:blipFill>
                  <pic:spPr>
                    <a:xfrm>
                      <a:off x="0" y="0"/>
                      <a:ext cx="4603417" cy="5107314"/>
                    </a:xfrm>
                    <a:prstGeom prst="rect">
                      <a:avLst/>
                    </a:prstGeom>
                  </pic:spPr>
                </pic:pic>
              </a:graphicData>
            </a:graphic>
          </wp:inline>
        </w:drawing>
      </w:r>
    </w:p>
    <w:p w14:paraId="41FEBB64" w14:textId="77777777"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Fig. 1: Industry 4.0 Integrated CAD-CAM Framework</w:t>
      </w:r>
    </w:p>
    <w:p w14:paraId="6467CF6E"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Real-time monitoring of manufacturing operations provides an effective solution to these challenges. By continuously collecting and analyzing data from sensors installed on machines—such as spindle load sensors, vibration sensors, and temperature sensors—manufacturers can detect abnormal conditions at an early stage. Early detection allows for timely corrective actions, such as adjusting cutting parameters, replacing worn tools, or stopping the machine before severe damage occurs. This capability significantly improves process stability, reduces waste, and enhances overall equipment effectiveness. The Fig. 2 represent the Industry 4.0 Integrated in Manufacturing &amp; Real time monitoring. </w:t>
      </w:r>
    </w:p>
    <w:p w14:paraId="7D8DA292" w14:textId="77777777" w:rsidR="00414C3B" w:rsidRPr="00414C3B" w:rsidRDefault="00414C3B" w:rsidP="00414C3B">
      <w:pPr>
        <w:spacing w:after="120" w:line="240" w:lineRule="auto"/>
        <w:jc w:val="center"/>
        <w:rPr>
          <w:rFonts w:ascii="Times New Roman" w:hAnsi="Times New Roman" w:cs="Times New Roman"/>
          <w:color w:val="000000" w:themeColor="text1"/>
          <w:sz w:val="24"/>
          <w:szCs w:val="24"/>
        </w:rPr>
      </w:pPr>
      <w:r w:rsidRPr="00414C3B">
        <w:rPr>
          <w:rFonts w:ascii="Times New Roman" w:hAnsi="Times New Roman" w:cs="Times New Roman"/>
          <w:noProof/>
          <w:color w:val="000000" w:themeColor="text1"/>
          <w:sz w:val="24"/>
          <w:szCs w:val="24"/>
        </w:rPr>
        <w:lastRenderedPageBreak/>
        <w:drawing>
          <wp:inline distT="0" distB="0" distL="0" distR="0" wp14:anchorId="5DA10667" wp14:editId="1FF90074">
            <wp:extent cx="4615737" cy="5962650"/>
            <wp:effectExtent l="19050" t="19050" r="13970" b="19050"/>
            <wp:docPr id="97657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78765" name=""/>
                    <pic:cNvPicPr/>
                  </pic:nvPicPr>
                  <pic:blipFill>
                    <a:blip r:embed="rId9"/>
                    <a:stretch>
                      <a:fillRect/>
                    </a:stretch>
                  </pic:blipFill>
                  <pic:spPr>
                    <a:xfrm>
                      <a:off x="0" y="0"/>
                      <a:ext cx="4621036" cy="5969495"/>
                    </a:xfrm>
                    <a:prstGeom prst="rect">
                      <a:avLst/>
                    </a:prstGeom>
                    <a:ln>
                      <a:solidFill>
                        <a:schemeClr val="accent1"/>
                      </a:solidFill>
                    </a:ln>
                  </pic:spPr>
                </pic:pic>
              </a:graphicData>
            </a:graphic>
          </wp:inline>
        </w:drawing>
      </w:r>
    </w:p>
    <w:p w14:paraId="3DA2C5A8" w14:textId="77777777"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Fig. 2. Industry 4.0 Integrated in Manufacturing &amp; Real time monitoring</w:t>
      </w:r>
    </w:p>
    <w:p w14:paraId="2885995F"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In this context, the need for an integrated CAD/CAM framework aligned with Industry 4.0 principles becomes evident. Such a framework would enable a closed-loop connection between design, manufacturing planning, and real-time production monitoring. By linking CAD and CAM systems with live shop-floor data, manufacturing processes can become adaptive and intelligent. Continuous monitoring and feedback allow design and process planning decisions to be updated based on actual machining conditions, ensuring higher accuracy, better quality control, and improved operational efficiency. This research therefore focuses on addressing this integration challenge by proposing a CAD/CAM framework that supports real-time monitoring and feedback in Industry 4.0-enabled manufacturing environments.</w:t>
      </w:r>
    </w:p>
    <w:p w14:paraId="28599519" w14:textId="77777777"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2. Literature Review</w:t>
      </w:r>
    </w:p>
    <w:p w14:paraId="0FB9B3C8"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Several researchers have explored the integration of CAD/CAM systems with Industry 4.0 technologies. Sääski (2005) introduced the STEP-NC standard to enable semantic integration between CAD, CAM, and CNC systems, highlighting its potential to support bidirectional information flow between design and manufacturing stages [1]. However, industrial adoption remains limited due to legacy machine constraints.</w:t>
      </w:r>
    </w:p>
    <w:p w14:paraId="6232AF02"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lastRenderedPageBreak/>
        <w:t>Downey et al. (2016) demonstrated real-time CNC process monitoring using sensor fusion techniques, showing that vibration and acoustic emission sensors can effectively detect tool wear and breakage [2]. While effective, the study focused primarily on monitoring rather than design-level feedback.</w:t>
      </w:r>
    </w:p>
    <w:p w14:paraId="4D70D823"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Upadhyay (2014) emphasized the role of STEP-NC in unifying CAD/CAM/CNC data and argued that richer data models are necessary to support intelligent manufacturing systems [3]. More recently, Arioua et al. (2023) reviewed digital twin applications in Industry 4.0 and identified real-time monitoring and predictive maintenance as key benefits, while noting challenges related to data synchronization and interoperability [4].</w:t>
      </w:r>
    </w:p>
    <w:p w14:paraId="7D208C94"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Halenar et al. (2024) proposed an edge-based machine condition monitoring system, demonstrating that local processing significantly reduces response time compared to cloud-only approaches [5]. Similarly, Lam et al. (2024) developed a standards-based digital twin of a CNC machine, proving its effectiveness for diagnostics and virtual commissioning [6].</w:t>
      </w:r>
    </w:p>
    <w:p w14:paraId="64BE101C"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Despite these advancements, most existing studies address either monitoring or digital modeling in isolation. A comprehensive framework that integrates CAD/CAM, real-time monitoring, and feedback mechanisms remains an open research challenge. Industry 4.0 focuses on achieving intelligent, autonomous, and highly efficient manufacturing systems through the integration of digital technologies such as cyber-physical systems, real-time monitoring, data analytics, and advanced computing architectures [11-12]. While current Industry 4.0 implementations rely primarily on conventional CMOS-based electronics for data processing and control, emerging nano-computing technologies such as Quantum Dot Cellular Automata (QCA) present new opportunities to further enhance system performance, efficiency, and scalability [13-15].</w:t>
      </w:r>
    </w:p>
    <w:p w14:paraId="6A7CF63C"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Quantum Dot Cellular Automata is a nano-scale computing paradigm that represents binary information using the position of electrons in quantum dots rather than current flow, as in traditional transistor-based systems. QCA offers significant advantages, including ultra-low power consumption, high switching speed, compact circuit density, and reduced heat dissipation. These characteristics make QCA a promising technology for future smart manufacturing systems that demand real-time decision-making with minimal energy overhead.</w:t>
      </w:r>
    </w:p>
    <w:p w14:paraId="56FF437F"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In the context of an Industry 4.0–oriented CAD/CAM framework, QCA can play a vital role at the hardware and computational layer of real-time monitoring and control systems. The proposed CAD/CAM framework relies on continuous sensor data processing, rapid anomaly detection, and immediate feedback to manufacturing operations. Implementing edge computing and control logic using QCA-based circuits [16-18] could significantly enhance the speed and energy efficiency of these operations, particularly in environments with dense sensor networks and high-frequency data streams [17].</w:t>
      </w:r>
    </w:p>
    <w:p w14:paraId="19CD47F7"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Furthermore, QCA can support the development of high-speed logic circuits for signal processing, decision-making, and control within edge devices [18]. For example, logic components used for threshold detection, pattern recognition, and control signal generation in the monitoring framework could be implemented using QCA-based architectures [19-23]. This would allow faster detection of machining anomalies such as tool wear or vibration while reducing the power consumption of edge devices deployed on the shop floor.</w:t>
      </w:r>
    </w:p>
    <w:p w14:paraId="734E86A0"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From a CAD/CAM perspective, QCA also aligns with the future evolution of design automation. Just as CAD tools are used to design mechanical components and CAM tools generate manufacturing instructions, QCA-aware CAD tools can be integrated into the digital manufacturing ecosystem to design nano-scale control and monitoring circuits. This creates a unified design-to-execution pipeline where mechanical design, manufacturing planning, and nano-electronic control systems are co-designed within an Industry 4.0 environment.</w:t>
      </w:r>
    </w:p>
    <w:p w14:paraId="268F954C"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Moreover, the integration of QCA with digital twin models can further enhance real-time monitoring accuracy. QCA-based processors can enable rapid synchronization between physical </w:t>
      </w:r>
      <w:r w:rsidRPr="00414C3B">
        <w:rPr>
          <w:rFonts w:ascii="Times New Roman" w:hAnsi="Times New Roman" w:cs="Times New Roman"/>
          <w:color w:val="000000" w:themeColor="text1"/>
          <w:sz w:val="24"/>
          <w:szCs w:val="24"/>
        </w:rPr>
        <w:lastRenderedPageBreak/>
        <w:t>machines and their digital twins by handling large volumes of sensor data efficiently [12, 15, 21]. This supports adaptive control strategies and predictive maintenance within the CAD/CAM framework.</w:t>
      </w:r>
    </w:p>
    <w:p w14:paraId="6D5F511C"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In summary, Quantum Dot Cellular Automata complements the proposed Industry 4.0–oriented CAD/CAM framework by providing a future-ready computing foundation for real-time monitoring and control. While QCA is still largely at the research and experimental stage, its integration with Industry 4.0 architectures represents a promising direction for next-generation smart manufacturing systems, enabling ultra-fast, energy-efficient, and scalable real-time manufacturing operations [24-30].</w:t>
      </w:r>
    </w:p>
    <w:p w14:paraId="7CB78A77" w14:textId="77777777"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3. Proposed CAD/CAM Framework for Real-Time Monitoring</w:t>
      </w:r>
    </w:p>
    <w:p w14:paraId="2847FBA1"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The proposed framework is designed around Industry 4.0 principles of connectivity, interoperability, and intelligence. It consists of four tightly integrated layers: CAD/CAM layer, machine and sensor layer, edge computing layer, and analytics layer [25-32].</w:t>
      </w:r>
    </w:p>
    <w:p w14:paraId="6C8D27D4"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The CAD/CAM layer generates product geometry and machining plans, including toolpaths and process parameters. These plans are enriched with operation identifiers to maintain traceability during execution. The machine and sensor layer includes CNC machines equipped with sensors such as spindle load, vibration, and temperature sensors that capture real-time operational data [25].</w:t>
      </w:r>
    </w:p>
    <w:p w14:paraId="7E3DCFC5"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Edge computing nodes are deployed near machines to process sensor data locally. These nodes perform data filtering, anomaly detection, and preliminary analytics to ensure low-latency response [26]. Processed data is transmitted to the analytics layer, where cloud-based systems perform deeper analysis, visualization, and digital twin synchronization.</w:t>
      </w:r>
    </w:p>
    <w:p w14:paraId="2458BE2A"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A key contribution of this framework is the closed-loop feedback mechanism. Deviations detected during machining are fed back to the CAM system, enabling parameter adjustments such as feed rate optimization or toolpath modification. This loop ensures continuous improvement and adaptive manufacturing.</w:t>
      </w:r>
    </w:p>
    <w:p w14:paraId="7B842600" w14:textId="77777777"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4. Implementation and Case Study</w:t>
      </w:r>
    </w:p>
    <w:p w14:paraId="17B2B88D"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The proposed framework was implemented in a CNC milling environment. CAD models were created using standard CAD software, and CAM toolpaths were generated with annotated operation identifiers. A CNC milling machine was instrumented with spindle current and vibration sensors [27-28]. An edge device collected sensor data and applied threshold-based anomaly detection. Real-time data was transmitted to a monitoring dashboard, allowing operators to observe machining conditions live. When abnormal spindle load was detected, alerts were generated and corrective actions were applied [29-32].</w:t>
      </w:r>
    </w:p>
    <w:p w14:paraId="3E5EB817" w14:textId="77777777" w:rsidR="00414C3B" w:rsidRPr="00414C3B" w:rsidRDefault="00414C3B" w:rsidP="00414C3B">
      <w:pPr>
        <w:spacing w:after="120" w:line="240" w:lineRule="auto"/>
        <w:jc w:val="center"/>
        <w:rPr>
          <w:rFonts w:ascii="Times New Roman" w:hAnsi="Times New Roman" w:cs="Times New Roman"/>
          <w:color w:val="000000" w:themeColor="text1"/>
          <w:sz w:val="24"/>
          <w:szCs w:val="24"/>
        </w:rPr>
      </w:pPr>
      <w:r w:rsidRPr="00414C3B">
        <w:rPr>
          <w:rFonts w:ascii="Times New Roman" w:hAnsi="Times New Roman" w:cs="Times New Roman"/>
          <w:b/>
          <w:bCs/>
          <w:color w:val="000000" w:themeColor="text1"/>
          <w:sz w:val="24"/>
          <w:szCs w:val="24"/>
        </w:rPr>
        <w:t>Table 1: Sensor Data Utilization in Conventional and Proposed Systems</w:t>
      </w:r>
    </w:p>
    <w:tbl>
      <w:tblPr>
        <w:tblStyle w:val="TableGrid"/>
        <w:tblW w:w="0" w:type="auto"/>
        <w:jc w:val="center"/>
        <w:tblLook w:val="04A0" w:firstRow="1" w:lastRow="0" w:firstColumn="1" w:lastColumn="0" w:noHBand="0" w:noVBand="1"/>
      </w:tblPr>
      <w:tblGrid>
        <w:gridCol w:w="2023"/>
        <w:gridCol w:w="2383"/>
        <w:gridCol w:w="2449"/>
      </w:tblGrid>
      <w:tr w:rsidR="00414C3B" w:rsidRPr="00414C3B" w14:paraId="4A7B31EC" w14:textId="77777777" w:rsidTr="00414C3B">
        <w:trPr>
          <w:jc w:val="center"/>
        </w:trPr>
        <w:tc>
          <w:tcPr>
            <w:tcW w:w="0" w:type="auto"/>
            <w:vAlign w:val="center"/>
            <w:hideMark/>
          </w:tcPr>
          <w:p w14:paraId="52C90D0A"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Sensor Type</w:t>
            </w:r>
          </w:p>
        </w:tc>
        <w:tc>
          <w:tcPr>
            <w:tcW w:w="0" w:type="auto"/>
            <w:vAlign w:val="center"/>
            <w:hideMark/>
          </w:tcPr>
          <w:p w14:paraId="06062BCD"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Conventional System</w:t>
            </w:r>
          </w:p>
        </w:tc>
        <w:tc>
          <w:tcPr>
            <w:tcW w:w="0" w:type="auto"/>
            <w:vAlign w:val="center"/>
            <w:hideMark/>
          </w:tcPr>
          <w:p w14:paraId="35CB11EB"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Proposed Framework</w:t>
            </w:r>
          </w:p>
        </w:tc>
      </w:tr>
      <w:tr w:rsidR="00414C3B" w:rsidRPr="00414C3B" w14:paraId="37B2BA24" w14:textId="77777777" w:rsidTr="00414C3B">
        <w:trPr>
          <w:jc w:val="center"/>
        </w:trPr>
        <w:tc>
          <w:tcPr>
            <w:tcW w:w="0" w:type="auto"/>
            <w:vAlign w:val="center"/>
            <w:hideMark/>
          </w:tcPr>
          <w:p w14:paraId="7337047F"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Spindle Load</w:t>
            </w:r>
          </w:p>
        </w:tc>
        <w:tc>
          <w:tcPr>
            <w:tcW w:w="0" w:type="auto"/>
            <w:vAlign w:val="center"/>
            <w:hideMark/>
          </w:tcPr>
          <w:p w14:paraId="20B46D35"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Offline analysis</w:t>
            </w:r>
          </w:p>
        </w:tc>
        <w:tc>
          <w:tcPr>
            <w:tcW w:w="0" w:type="auto"/>
            <w:vAlign w:val="center"/>
            <w:hideMark/>
          </w:tcPr>
          <w:p w14:paraId="44CE417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Real-time monitoring</w:t>
            </w:r>
          </w:p>
        </w:tc>
      </w:tr>
      <w:tr w:rsidR="00414C3B" w:rsidRPr="00414C3B" w14:paraId="19B38073" w14:textId="77777777" w:rsidTr="00414C3B">
        <w:trPr>
          <w:jc w:val="center"/>
        </w:trPr>
        <w:tc>
          <w:tcPr>
            <w:tcW w:w="0" w:type="auto"/>
            <w:vAlign w:val="center"/>
            <w:hideMark/>
          </w:tcPr>
          <w:p w14:paraId="5E9BC23B"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Vibration</w:t>
            </w:r>
          </w:p>
        </w:tc>
        <w:tc>
          <w:tcPr>
            <w:tcW w:w="0" w:type="auto"/>
            <w:vAlign w:val="center"/>
            <w:hideMark/>
          </w:tcPr>
          <w:p w14:paraId="18773265"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Not used</w:t>
            </w:r>
          </w:p>
        </w:tc>
        <w:tc>
          <w:tcPr>
            <w:tcW w:w="0" w:type="auto"/>
            <w:vAlign w:val="center"/>
            <w:hideMark/>
          </w:tcPr>
          <w:p w14:paraId="2FD501D1"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Continuous sensing</w:t>
            </w:r>
          </w:p>
        </w:tc>
      </w:tr>
      <w:tr w:rsidR="00414C3B" w:rsidRPr="00414C3B" w14:paraId="52B070C1" w14:textId="77777777" w:rsidTr="00414C3B">
        <w:trPr>
          <w:jc w:val="center"/>
        </w:trPr>
        <w:tc>
          <w:tcPr>
            <w:tcW w:w="0" w:type="auto"/>
            <w:vAlign w:val="center"/>
            <w:hideMark/>
          </w:tcPr>
          <w:p w14:paraId="1653873C"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Temperature</w:t>
            </w:r>
          </w:p>
        </w:tc>
        <w:tc>
          <w:tcPr>
            <w:tcW w:w="0" w:type="auto"/>
            <w:vAlign w:val="center"/>
            <w:hideMark/>
          </w:tcPr>
          <w:p w14:paraId="1D77B8E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Periodic</w:t>
            </w:r>
          </w:p>
        </w:tc>
        <w:tc>
          <w:tcPr>
            <w:tcW w:w="0" w:type="auto"/>
            <w:vAlign w:val="center"/>
            <w:hideMark/>
          </w:tcPr>
          <w:p w14:paraId="14FD40ED"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Real-time</w:t>
            </w:r>
          </w:p>
        </w:tc>
      </w:tr>
      <w:tr w:rsidR="00414C3B" w:rsidRPr="00414C3B" w14:paraId="4B358435" w14:textId="77777777" w:rsidTr="00414C3B">
        <w:trPr>
          <w:jc w:val="center"/>
        </w:trPr>
        <w:tc>
          <w:tcPr>
            <w:tcW w:w="0" w:type="auto"/>
            <w:vAlign w:val="center"/>
            <w:hideMark/>
          </w:tcPr>
          <w:p w14:paraId="55E27FD8"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Acoustic Emission</w:t>
            </w:r>
          </w:p>
        </w:tc>
        <w:tc>
          <w:tcPr>
            <w:tcW w:w="0" w:type="auto"/>
            <w:vAlign w:val="center"/>
            <w:hideMark/>
          </w:tcPr>
          <w:p w14:paraId="6D4F523D"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Not used</w:t>
            </w:r>
          </w:p>
        </w:tc>
        <w:tc>
          <w:tcPr>
            <w:tcW w:w="0" w:type="auto"/>
            <w:vAlign w:val="center"/>
            <w:hideMark/>
          </w:tcPr>
          <w:p w14:paraId="1712E706"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Real-time</w:t>
            </w:r>
          </w:p>
        </w:tc>
      </w:tr>
      <w:tr w:rsidR="00414C3B" w:rsidRPr="00414C3B" w14:paraId="10A027A5" w14:textId="77777777" w:rsidTr="00414C3B">
        <w:trPr>
          <w:jc w:val="center"/>
        </w:trPr>
        <w:tc>
          <w:tcPr>
            <w:tcW w:w="0" w:type="auto"/>
            <w:vAlign w:val="center"/>
            <w:hideMark/>
          </w:tcPr>
          <w:p w14:paraId="5F1DB37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Tool Condition</w:t>
            </w:r>
          </w:p>
        </w:tc>
        <w:tc>
          <w:tcPr>
            <w:tcW w:w="0" w:type="auto"/>
            <w:vAlign w:val="center"/>
            <w:hideMark/>
          </w:tcPr>
          <w:p w14:paraId="117B4170"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Manual inspection</w:t>
            </w:r>
          </w:p>
        </w:tc>
        <w:tc>
          <w:tcPr>
            <w:tcW w:w="0" w:type="auto"/>
            <w:vAlign w:val="center"/>
            <w:hideMark/>
          </w:tcPr>
          <w:p w14:paraId="408A31A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Automated detection</w:t>
            </w:r>
          </w:p>
        </w:tc>
      </w:tr>
    </w:tbl>
    <w:p w14:paraId="6B1D9318" w14:textId="77777777" w:rsidR="00414C3B" w:rsidRPr="00414C3B" w:rsidRDefault="00414C3B" w:rsidP="00414C3B">
      <w:pPr>
        <w:spacing w:after="120" w:line="240" w:lineRule="auto"/>
        <w:jc w:val="both"/>
        <w:rPr>
          <w:rFonts w:ascii="Times New Roman" w:hAnsi="Times New Roman" w:cs="Times New Roman"/>
          <w:color w:val="000000" w:themeColor="text1"/>
          <w:sz w:val="10"/>
          <w:szCs w:val="10"/>
        </w:rPr>
      </w:pPr>
    </w:p>
    <w:p w14:paraId="68A0FBB9" w14:textId="77777777"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5. Results and Discussion</w:t>
      </w:r>
    </w:p>
    <w:p w14:paraId="02E5D9BA"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The effectiveness of the proposed framework was evaluated by comparing manufacturing performance with and without real-time monitoring.</w:t>
      </w:r>
    </w:p>
    <w:p w14:paraId="6913FAEF" w14:textId="77777777" w:rsidR="00414C3B" w:rsidRDefault="00414C3B" w:rsidP="00414C3B">
      <w:pPr>
        <w:spacing w:after="120" w:line="240" w:lineRule="auto"/>
        <w:jc w:val="both"/>
        <w:rPr>
          <w:rFonts w:ascii="Times New Roman" w:hAnsi="Times New Roman" w:cs="Times New Roman"/>
          <w:b/>
          <w:bCs/>
          <w:color w:val="000000" w:themeColor="text1"/>
          <w:sz w:val="24"/>
          <w:szCs w:val="24"/>
        </w:rPr>
      </w:pPr>
    </w:p>
    <w:p w14:paraId="7C540BC9" w14:textId="77777777" w:rsidR="00414C3B" w:rsidRDefault="00414C3B" w:rsidP="00414C3B">
      <w:pPr>
        <w:spacing w:after="120" w:line="240" w:lineRule="auto"/>
        <w:jc w:val="both"/>
        <w:rPr>
          <w:rFonts w:ascii="Times New Roman" w:hAnsi="Times New Roman" w:cs="Times New Roman"/>
          <w:b/>
          <w:bCs/>
          <w:color w:val="000000" w:themeColor="text1"/>
          <w:sz w:val="24"/>
          <w:szCs w:val="24"/>
        </w:rPr>
      </w:pPr>
    </w:p>
    <w:p w14:paraId="46DE6F2A" w14:textId="3E8E8368"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lastRenderedPageBreak/>
        <w:t>Table 1: Performance Comparison</w:t>
      </w:r>
    </w:p>
    <w:tbl>
      <w:tblPr>
        <w:tblStyle w:val="TableGrid"/>
        <w:tblW w:w="0" w:type="auto"/>
        <w:jc w:val="center"/>
        <w:tblLook w:val="04A0" w:firstRow="1" w:lastRow="0" w:firstColumn="1" w:lastColumn="0" w:noHBand="0" w:noVBand="1"/>
      </w:tblPr>
      <w:tblGrid>
        <w:gridCol w:w="2935"/>
        <w:gridCol w:w="2383"/>
        <w:gridCol w:w="2449"/>
      </w:tblGrid>
      <w:tr w:rsidR="00414C3B" w:rsidRPr="00414C3B" w14:paraId="5364FD22" w14:textId="77777777" w:rsidTr="00414C3B">
        <w:trPr>
          <w:jc w:val="center"/>
        </w:trPr>
        <w:tc>
          <w:tcPr>
            <w:tcW w:w="0" w:type="auto"/>
            <w:vAlign w:val="center"/>
            <w:hideMark/>
          </w:tcPr>
          <w:p w14:paraId="5E5B79BF"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Parameter</w:t>
            </w:r>
          </w:p>
        </w:tc>
        <w:tc>
          <w:tcPr>
            <w:tcW w:w="0" w:type="auto"/>
            <w:vAlign w:val="center"/>
            <w:hideMark/>
          </w:tcPr>
          <w:p w14:paraId="765A7CE9"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Conventional System</w:t>
            </w:r>
          </w:p>
        </w:tc>
        <w:tc>
          <w:tcPr>
            <w:tcW w:w="0" w:type="auto"/>
            <w:vAlign w:val="center"/>
            <w:hideMark/>
          </w:tcPr>
          <w:p w14:paraId="0876DF66"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Proposed Framework</w:t>
            </w:r>
          </w:p>
        </w:tc>
      </w:tr>
      <w:tr w:rsidR="00414C3B" w:rsidRPr="00414C3B" w14:paraId="797DB8EB" w14:textId="77777777" w:rsidTr="00414C3B">
        <w:trPr>
          <w:jc w:val="center"/>
        </w:trPr>
        <w:tc>
          <w:tcPr>
            <w:tcW w:w="0" w:type="auto"/>
            <w:vAlign w:val="center"/>
            <w:hideMark/>
          </w:tcPr>
          <w:p w14:paraId="644FDA3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Monitoring latency (</w:t>
            </w:r>
            <w:proofErr w:type="spellStart"/>
            <w:r w:rsidRPr="00414C3B">
              <w:rPr>
                <w:rFonts w:ascii="Times New Roman" w:hAnsi="Times New Roman" w:cs="Times New Roman"/>
                <w:color w:val="000000" w:themeColor="text1"/>
                <w:sz w:val="24"/>
                <w:szCs w:val="24"/>
              </w:rPr>
              <w:t>ms</w:t>
            </w:r>
            <w:proofErr w:type="spellEnd"/>
            <w:r w:rsidRPr="00414C3B">
              <w:rPr>
                <w:rFonts w:ascii="Times New Roman" w:hAnsi="Times New Roman" w:cs="Times New Roman"/>
                <w:color w:val="000000" w:themeColor="text1"/>
                <w:sz w:val="24"/>
                <w:szCs w:val="24"/>
              </w:rPr>
              <w:t>)</w:t>
            </w:r>
          </w:p>
        </w:tc>
        <w:tc>
          <w:tcPr>
            <w:tcW w:w="0" w:type="auto"/>
            <w:vAlign w:val="center"/>
            <w:hideMark/>
          </w:tcPr>
          <w:p w14:paraId="66735A2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2500</w:t>
            </w:r>
          </w:p>
        </w:tc>
        <w:tc>
          <w:tcPr>
            <w:tcW w:w="0" w:type="auto"/>
            <w:vAlign w:val="center"/>
            <w:hideMark/>
          </w:tcPr>
          <w:p w14:paraId="725672C4"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450</w:t>
            </w:r>
          </w:p>
        </w:tc>
      </w:tr>
      <w:tr w:rsidR="00414C3B" w:rsidRPr="00414C3B" w14:paraId="4C683985" w14:textId="77777777" w:rsidTr="00414C3B">
        <w:trPr>
          <w:jc w:val="center"/>
        </w:trPr>
        <w:tc>
          <w:tcPr>
            <w:tcW w:w="0" w:type="auto"/>
            <w:vAlign w:val="center"/>
            <w:hideMark/>
          </w:tcPr>
          <w:p w14:paraId="672C08F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Tool wear detection time (s)</w:t>
            </w:r>
          </w:p>
        </w:tc>
        <w:tc>
          <w:tcPr>
            <w:tcW w:w="0" w:type="auto"/>
            <w:vAlign w:val="center"/>
            <w:hideMark/>
          </w:tcPr>
          <w:p w14:paraId="1F615788"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18</w:t>
            </w:r>
          </w:p>
        </w:tc>
        <w:tc>
          <w:tcPr>
            <w:tcW w:w="0" w:type="auto"/>
            <w:vAlign w:val="center"/>
            <w:hideMark/>
          </w:tcPr>
          <w:p w14:paraId="7467C7C8"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6</w:t>
            </w:r>
          </w:p>
        </w:tc>
      </w:tr>
      <w:tr w:rsidR="00414C3B" w:rsidRPr="00414C3B" w14:paraId="6ED97096" w14:textId="77777777" w:rsidTr="00414C3B">
        <w:trPr>
          <w:jc w:val="center"/>
        </w:trPr>
        <w:tc>
          <w:tcPr>
            <w:tcW w:w="0" w:type="auto"/>
            <w:vAlign w:val="center"/>
            <w:hideMark/>
          </w:tcPr>
          <w:p w14:paraId="55737284"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Unplanned downtime (%)</w:t>
            </w:r>
          </w:p>
        </w:tc>
        <w:tc>
          <w:tcPr>
            <w:tcW w:w="0" w:type="auto"/>
            <w:vAlign w:val="center"/>
            <w:hideMark/>
          </w:tcPr>
          <w:p w14:paraId="48FD0B91"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12.5</w:t>
            </w:r>
          </w:p>
        </w:tc>
        <w:tc>
          <w:tcPr>
            <w:tcW w:w="0" w:type="auto"/>
            <w:vAlign w:val="center"/>
            <w:hideMark/>
          </w:tcPr>
          <w:p w14:paraId="2EB19CCF"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6.8</w:t>
            </w:r>
          </w:p>
        </w:tc>
      </w:tr>
      <w:tr w:rsidR="00414C3B" w:rsidRPr="00414C3B" w14:paraId="479D487F" w14:textId="77777777" w:rsidTr="00414C3B">
        <w:trPr>
          <w:jc w:val="center"/>
        </w:trPr>
        <w:tc>
          <w:tcPr>
            <w:tcW w:w="0" w:type="auto"/>
            <w:vAlign w:val="center"/>
            <w:hideMark/>
          </w:tcPr>
          <w:p w14:paraId="26C11DF5"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Process deviation incidents</w:t>
            </w:r>
          </w:p>
        </w:tc>
        <w:tc>
          <w:tcPr>
            <w:tcW w:w="0" w:type="auto"/>
            <w:vAlign w:val="center"/>
            <w:hideMark/>
          </w:tcPr>
          <w:p w14:paraId="59A71665"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15</w:t>
            </w:r>
          </w:p>
        </w:tc>
        <w:tc>
          <w:tcPr>
            <w:tcW w:w="0" w:type="auto"/>
            <w:vAlign w:val="center"/>
            <w:hideMark/>
          </w:tcPr>
          <w:p w14:paraId="7A130B16"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7</w:t>
            </w:r>
          </w:p>
        </w:tc>
      </w:tr>
    </w:tbl>
    <w:p w14:paraId="5D8F756D" w14:textId="77777777" w:rsidR="00414C3B" w:rsidRPr="00414C3B" w:rsidRDefault="00414C3B" w:rsidP="00414C3B">
      <w:pPr>
        <w:spacing w:after="120" w:line="240" w:lineRule="auto"/>
        <w:jc w:val="both"/>
        <w:rPr>
          <w:rFonts w:ascii="Times New Roman" w:hAnsi="Times New Roman" w:cs="Times New Roman"/>
          <w:color w:val="000000" w:themeColor="text1"/>
          <w:sz w:val="8"/>
          <w:szCs w:val="8"/>
        </w:rPr>
      </w:pPr>
    </w:p>
    <w:p w14:paraId="77F31390" w14:textId="018B718A"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The bar graph illustrates a clear improvement in manufacturing performance when the proposed framework is applied.</w:t>
      </w:r>
    </w:p>
    <w:p w14:paraId="43427CF0" w14:textId="77777777" w:rsidR="00414C3B" w:rsidRPr="00414C3B" w:rsidRDefault="00414C3B" w:rsidP="00414C3B">
      <w:pPr>
        <w:numPr>
          <w:ilvl w:val="0"/>
          <w:numId w:val="4"/>
        </w:numPr>
        <w:spacing w:after="120" w:line="240" w:lineRule="auto"/>
        <w:ind w:left="284" w:hanging="284"/>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Monitoring Latency (ms): The proposed framework significantly reduces monitoring latency from 2500 ms to 450 ms, demonstrating the effectiveness of real-time data acquisition and edge computing.</w:t>
      </w:r>
    </w:p>
    <w:p w14:paraId="68BFE651" w14:textId="77777777" w:rsidR="00414C3B" w:rsidRPr="00414C3B" w:rsidRDefault="00414C3B" w:rsidP="00414C3B">
      <w:pPr>
        <w:numPr>
          <w:ilvl w:val="0"/>
          <w:numId w:val="4"/>
        </w:numPr>
        <w:spacing w:after="120" w:line="240" w:lineRule="auto"/>
        <w:ind w:left="284" w:hanging="284"/>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Tool Wear Detection Time (s): Detection time is reduced from 18 seconds to 6 seconds, enabling early identification of tool degradation and preventing damage or scrap.</w:t>
      </w:r>
    </w:p>
    <w:p w14:paraId="24F3972E" w14:textId="77777777" w:rsidR="00414C3B" w:rsidRPr="00414C3B" w:rsidRDefault="00414C3B" w:rsidP="00414C3B">
      <w:pPr>
        <w:numPr>
          <w:ilvl w:val="0"/>
          <w:numId w:val="4"/>
        </w:numPr>
        <w:spacing w:after="120" w:line="240" w:lineRule="auto"/>
        <w:ind w:left="284" w:hanging="284"/>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Unplanned Downtime (%): Downtime is lowered from 12.5% to 6.8%, indicating improved operational reliability and faster corrective response.</w:t>
      </w:r>
    </w:p>
    <w:p w14:paraId="2FFB8CD0" w14:textId="77777777" w:rsidR="00414C3B" w:rsidRPr="00414C3B" w:rsidRDefault="00414C3B" w:rsidP="00414C3B">
      <w:pPr>
        <w:numPr>
          <w:ilvl w:val="0"/>
          <w:numId w:val="4"/>
        </w:numPr>
        <w:spacing w:after="120" w:line="240" w:lineRule="auto"/>
        <w:ind w:left="284" w:hanging="284"/>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Process Deviation Incidents: The number of deviation incidents decreases from 15 to 7, highlighting better process stability and quality control.</w:t>
      </w:r>
    </w:p>
    <w:p w14:paraId="6055DDE1"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Overall, the graph confirms that integrating CAD/CAM with Industry 4.0 technologies leads to faster response times, reduced downtime, and improved manufacturing efficiency.</w:t>
      </w:r>
    </w:p>
    <w:p w14:paraId="592DE42B" w14:textId="77777777"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Table 2: Quality Performance Comparison</w:t>
      </w:r>
    </w:p>
    <w:tbl>
      <w:tblPr>
        <w:tblStyle w:val="TableGrid"/>
        <w:tblW w:w="0" w:type="auto"/>
        <w:jc w:val="center"/>
        <w:tblLook w:val="04A0" w:firstRow="1" w:lastRow="0" w:firstColumn="1" w:lastColumn="0" w:noHBand="0" w:noVBand="1"/>
      </w:tblPr>
      <w:tblGrid>
        <w:gridCol w:w="2842"/>
        <w:gridCol w:w="1590"/>
        <w:gridCol w:w="2449"/>
      </w:tblGrid>
      <w:tr w:rsidR="00414C3B" w:rsidRPr="00414C3B" w14:paraId="2EA0FCC2" w14:textId="77777777" w:rsidTr="00414C3B">
        <w:trPr>
          <w:jc w:val="center"/>
        </w:trPr>
        <w:tc>
          <w:tcPr>
            <w:tcW w:w="0" w:type="auto"/>
            <w:vAlign w:val="center"/>
            <w:hideMark/>
          </w:tcPr>
          <w:p w14:paraId="509720E2"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Quality Metric</w:t>
            </w:r>
          </w:p>
        </w:tc>
        <w:tc>
          <w:tcPr>
            <w:tcW w:w="0" w:type="auto"/>
            <w:vAlign w:val="center"/>
            <w:hideMark/>
          </w:tcPr>
          <w:p w14:paraId="50D56115"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Conventional</w:t>
            </w:r>
          </w:p>
        </w:tc>
        <w:tc>
          <w:tcPr>
            <w:tcW w:w="0" w:type="auto"/>
            <w:vAlign w:val="center"/>
            <w:hideMark/>
          </w:tcPr>
          <w:p w14:paraId="24FA3A72"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Proposed Framework</w:t>
            </w:r>
          </w:p>
        </w:tc>
      </w:tr>
      <w:tr w:rsidR="00414C3B" w:rsidRPr="00414C3B" w14:paraId="4C37E17F" w14:textId="77777777" w:rsidTr="00414C3B">
        <w:trPr>
          <w:jc w:val="center"/>
        </w:trPr>
        <w:tc>
          <w:tcPr>
            <w:tcW w:w="0" w:type="auto"/>
            <w:vAlign w:val="center"/>
            <w:hideMark/>
          </w:tcPr>
          <w:p w14:paraId="710D740B"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Scrap Rate (%)</w:t>
            </w:r>
          </w:p>
        </w:tc>
        <w:tc>
          <w:tcPr>
            <w:tcW w:w="0" w:type="auto"/>
            <w:vAlign w:val="center"/>
            <w:hideMark/>
          </w:tcPr>
          <w:p w14:paraId="2C29B479"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8.2</w:t>
            </w:r>
          </w:p>
        </w:tc>
        <w:tc>
          <w:tcPr>
            <w:tcW w:w="0" w:type="auto"/>
            <w:vAlign w:val="center"/>
            <w:hideMark/>
          </w:tcPr>
          <w:p w14:paraId="56FD3DC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3.5</w:t>
            </w:r>
          </w:p>
        </w:tc>
      </w:tr>
      <w:tr w:rsidR="00414C3B" w:rsidRPr="00414C3B" w14:paraId="7B94CD56" w14:textId="77777777" w:rsidTr="00414C3B">
        <w:trPr>
          <w:jc w:val="center"/>
        </w:trPr>
        <w:tc>
          <w:tcPr>
            <w:tcW w:w="0" w:type="auto"/>
            <w:vAlign w:val="center"/>
            <w:hideMark/>
          </w:tcPr>
          <w:p w14:paraId="16D295B0"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Rework Rate (%)</w:t>
            </w:r>
          </w:p>
        </w:tc>
        <w:tc>
          <w:tcPr>
            <w:tcW w:w="0" w:type="auto"/>
            <w:vAlign w:val="center"/>
            <w:hideMark/>
          </w:tcPr>
          <w:p w14:paraId="27C53E88"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6.1</w:t>
            </w:r>
          </w:p>
        </w:tc>
        <w:tc>
          <w:tcPr>
            <w:tcW w:w="0" w:type="auto"/>
            <w:vAlign w:val="center"/>
            <w:hideMark/>
          </w:tcPr>
          <w:p w14:paraId="54FCA6B8"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2.4</w:t>
            </w:r>
          </w:p>
        </w:tc>
      </w:tr>
      <w:tr w:rsidR="00414C3B" w:rsidRPr="00414C3B" w14:paraId="51F50557" w14:textId="77777777" w:rsidTr="00414C3B">
        <w:trPr>
          <w:jc w:val="center"/>
        </w:trPr>
        <w:tc>
          <w:tcPr>
            <w:tcW w:w="0" w:type="auto"/>
            <w:vAlign w:val="center"/>
            <w:hideMark/>
          </w:tcPr>
          <w:p w14:paraId="16965D0C"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Dimensional Accuracy (%)</w:t>
            </w:r>
          </w:p>
        </w:tc>
        <w:tc>
          <w:tcPr>
            <w:tcW w:w="0" w:type="auto"/>
            <w:vAlign w:val="center"/>
            <w:hideMark/>
          </w:tcPr>
          <w:p w14:paraId="217C5221"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92</w:t>
            </w:r>
          </w:p>
        </w:tc>
        <w:tc>
          <w:tcPr>
            <w:tcW w:w="0" w:type="auto"/>
            <w:vAlign w:val="center"/>
            <w:hideMark/>
          </w:tcPr>
          <w:p w14:paraId="39677B61"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98</w:t>
            </w:r>
          </w:p>
        </w:tc>
      </w:tr>
      <w:tr w:rsidR="00414C3B" w:rsidRPr="00414C3B" w14:paraId="695F184B" w14:textId="77777777" w:rsidTr="00414C3B">
        <w:trPr>
          <w:jc w:val="center"/>
        </w:trPr>
        <w:tc>
          <w:tcPr>
            <w:tcW w:w="0" w:type="auto"/>
            <w:vAlign w:val="center"/>
            <w:hideMark/>
          </w:tcPr>
          <w:p w14:paraId="3FDAB0EC"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First-Pass Yield (%)</w:t>
            </w:r>
          </w:p>
        </w:tc>
        <w:tc>
          <w:tcPr>
            <w:tcW w:w="0" w:type="auto"/>
            <w:vAlign w:val="center"/>
            <w:hideMark/>
          </w:tcPr>
          <w:p w14:paraId="43C2312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86</w:t>
            </w:r>
          </w:p>
        </w:tc>
        <w:tc>
          <w:tcPr>
            <w:tcW w:w="0" w:type="auto"/>
            <w:vAlign w:val="center"/>
            <w:hideMark/>
          </w:tcPr>
          <w:p w14:paraId="0BE4F386"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95</w:t>
            </w:r>
          </w:p>
        </w:tc>
      </w:tr>
    </w:tbl>
    <w:p w14:paraId="0033F36E" w14:textId="0D187510" w:rsidR="00414C3B" w:rsidRDefault="00414C3B" w:rsidP="00414C3B">
      <w:pPr>
        <w:spacing w:after="120" w:line="240" w:lineRule="auto"/>
        <w:jc w:val="both"/>
        <w:rPr>
          <w:rFonts w:ascii="Times New Roman" w:hAnsi="Times New Roman" w:cs="Times New Roman"/>
          <w:noProof/>
          <w:color w:val="000000" w:themeColor="text1"/>
          <w:sz w:val="24"/>
          <w:szCs w:val="24"/>
        </w:rPr>
      </w:pPr>
    </w:p>
    <w:p w14:paraId="7E4F8E12" w14:textId="07AEDDDE" w:rsidR="00414C3B" w:rsidRPr="00414C3B" w:rsidRDefault="00414C3B" w:rsidP="00414C3B">
      <w:pPr>
        <w:spacing w:after="120" w:line="240" w:lineRule="auto"/>
        <w:jc w:val="center"/>
        <w:rPr>
          <w:rFonts w:ascii="Times New Roman" w:hAnsi="Times New Roman" w:cs="Times New Roman"/>
          <w:color w:val="000000" w:themeColor="text1"/>
          <w:sz w:val="24"/>
          <w:szCs w:val="24"/>
        </w:rPr>
      </w:pPr>
      <w:r w:rsidRPr="00414C3B">
        <w:rPr>
          <w:rFonts w:ascii="Times New Roman" w:hAnsi="Times New Roman" w:cs="Times New Roman"/>
          <w:noProof/>
          <w:color w:val="000000" w:themeColor="text1"/>
          <w:sz w:val="24"/>
          <w:szCs w:val="24"/>
        </w:rPr>
        <w:drawing>
          <wp:inline distT="0" distB="0" distL="0" distR="0" wp14:anchorId="5A8253DB" wp14:editId="54D7D9F7">
            <wp:extent cx="4425950" cy="2489200"/>
            <wp:effectExtent l="0" t="0" r="12700" b="6350"/>
            <wp:docPr id="348854887" name="Chart 1">
              <a:extLst xmlns:a="http://schemas.openxmlformats.org/drawingml/2006/main">
                <a:ext uri="{FF2B5EF4-FFF2-40B4-BE49-F238E27FC236}">
                  <a16:creationId xmlns:a16="http://schemas.microsoft.com/office/drawing/2014/main" id="{A577EC72-A373-5ACE-E9ED-8EA1C06CC3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0E71F0" w14:textId="77777777"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Fig.3 Quality Performance Comparison</w:t>
      </w:r>
    </w:p>
    <w:p w14:paraId="2C05D45D" w14:textId="77777777" w:rsidR="00414C3B" w:rsidRDefault="00414C3B" w:rsidP="00414C3B">
      <w:pPr>
        <w:spacing w:after="120" w:line="240" w:lineRule="auto"/>
        <w:jc w:val="both"/>
        <w:rPr>
          <w:rFonts w:ascii="Times New Roman" w:hAnsi="Times New Roman" w:cs="Times New Roman"/>
          <w:b/>
          <w:bCs/>
          <w:color w:val="000000" w:themeColor="text1"/>
          <w:sz w:val="24"/>
          <w:szCs w:val="24"/>
        </w:rPr>
      </w:pPr>
    </w:p>
    <w:p w14:paraId="19360020" w14:textId="4250ACE6" w:rsidR="00414C3B" w:rsidRPr="00414C3B" w:rsidRDefault="00414C3B" w:rsidP="00414C3B">
      <w:pPr>
        <w:spacing w:after="120" w:line="240" w:lineRule="auto"/>
        <w:jc w:val="center"/>
        <w:rPr>
          <w:rFonts w:ascii="Times New Roman" w:hAnsi="Times New Roman" w:cs="Times New Roman"/>
          <w:color w:val="000000" w:themeColor="text1"/>
          <w:sz w:val="24"/>
          <w:szCs w:val="24"/>
        </w:rPr>
      </w:pPr>
      <w:r w:rsidRPr="00414C3B">
        <w:rPr>
          <w:rFonts w:ascii="Times New Roman" w:hAnsi="Times New Roman" w:cs="Times New Roman"/>
          <w:b/>
          <w:bCs/>
          <w:color w:val="000000" w:themeColor="text1"/>
          <w:sz w:val="24"/>
          <w:szCs w:val="24"/>
        </w:rPr>
        <w:t>Table 3: Cost–Benefit Comparison</w:t>
      </w:r>
    </w:p>
    <w:tbl>
      <w:tblPr>
        <w:tblStyle w:val="TableGrid"/>
        <w:tblW w:w="0" w:type="auto"/>
        <w:jc w:val="center"/>
        <w:tblLook w:val="04A0" w:firstRow="1" w:lastRow="0" w:firstColumn="1" w:lastColumn="0" w:noHBand="0" w:noVBand="1"/>
      </w:tblPr>
      <w:tblGrid>
        <w:gridCol w:w="2676"/>
        <w:gridCol w:w="1590"/>
        <w:gridCol w:w="1189"/>
      </w:tblGrid>
      <w:tr w:rsidR="00414C3B" w:rsidRPr="00414C3B" w14:paraId="0F1E533D" w14:textId="77777777" w:rsidTr="00414C3B">
        <w:trPr>
          <w:jc w:val="center"/>
        </w:trPr>
        <w:tc>
          <w:tcPr>
            <w:tcW w:w="0" w:type="auto"/>
            <w:vAlign w:val="center"/>
            <w:hideMark/>
          </w:tcPr>
          <w:p w14:paraId="47AF77C2"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Parameter</w:t>
            </w:r>
          </w:p>
        </w:tc>
        <w:tc>
          <w:tcPr>
            <w:tcW w:w="0" w:type="auto"/>
            <w:vAlign w:val="center"/>
            <w:hideMark/>
          </w:tcPr>
          <w:p w14:paraId="319226CB"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Conventional</w:t>
            </w:r>
          </w:p>
        </w:tc>
        <w:tc>
          <w:tcPr>
            <w:tcW w:w="0" w:type="auto"/>
            <w:vAlign w:val="center"/>
            <w:hideMark/>
          </w:tcPr>
          <w:p w14:paraId="4EE70101"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Proposed</w:t>
            </w:r>
          </w:p>
        </w:tc>
      </w:tr>
      <w:tr w:rsidR="00414C3B" w:rsidRPr="00414C3B" w14:paraId="5E8E6E13" w14:textId="77777777" w:rsidTr="00414C3B">
        <w:trPr>
          <w:jc w:val="center"/>
        </w:trPr>
        <w:tc>
          <w:tcPr>
            <w:tcW w:w="0" w:type="auto"/>
            <w:vAlign w:val="center"/>
            <w:hideMark/>
          </w:tcPr>
          <w:p w14:paraId="196C16C4"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Maintenance Cost</w:t>
            </w:r>
          </w:p>
        </w:tc>
        <w:tc>
          <w:tcPr>
            <w:tcW w:w="0" w:type="auto"/>
            <w:vAlign w:val="center"/>
            <w:hideMark/>
          </w:tcPr>
          <w:p w14:paraId="62B21B3E"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High</w:t>
            </w:r>
          </w:p>
        </w:tc>
        <w:tc>
          <w:tcPr>
            <w:tcW w:w="0" w:type="auto"/>
            <w:vAlign w:val="center"/>
            <w:hideMark/>
          </w:tcPr>
          <w:p w14:paraId="65CC02A5"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Reduced</w:t>
            </w:r>
          </w:p>
        </w:tc>
      </w:tr>
      <w:tr w:rsidR="00414C3B" w:rsidRPr="00414C3B" w14:paraId="1997DF05" w14:textId="77777777" w:rsidTr="00414C3B">
        <w:trPr>
          <w:jc w:val="center"/>
        </w:trPr>
        <w:tc>
          <w:tcPr>
            <w:tcW w:w="0" w:type="auto"/>
            <w:vAlign w:val="center"/>
            <w:hideMark/>
          </w:tcPr>
          <w:p w14:paraId="1921AB9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Scrap Cost</w:t>
            </w:r>
          </w:p>
        </w:tc>
        <w:tc>
          <w:tcPr>
            <w:tcW w:w="0" w:type="auto"/>
            <w:vAlign w:val="center"/>
            <w:hideMark/>
          </w:tcPr>
          <w:p w14:paraId="3BC08DC8"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High</w:t>
            </w:r>
          </w:p>
        </w:tc>
        <w:tc>
          <w:tcPr>
            <w:tcW w:w="0" w:type="auto"/>
            <w:vAlign w:val="center"/>
            <w:hideMark/>
          </w:tcPr>
          <w:p w14:paraId="650C07E6"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Low</w:t>
            </w:r>
          </w:p>
        </w:tc>
      </w:tr>
      <w:tr w:rsidR="00414C3B" w:rsidRPr="00414C3B" w14:paraId="3E195212" w14:textId="77777777" w:rsidTr="00414C3B">
        <w:trPr>
          <w:jc w:val="center"/>
        </w:trPr>
        <w:tc>
          <w:tcPr>
            <w:tcW w:w="0" w:type="auto"/>
            <w:vAlign w:val="center"/>
            <w:hideMark/>
          </w:tcPr>
          <w:p w14:paraId="72537BD6"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lastRenderedPageBreak/>
              <w:t>Monitoring Infrastructure</w:t>
            </w:r>
          </w:p>
        </w:tc>
        <w:tc>
          <w:tcPr>
            <w:tcW w:w="0" w:type="auto"/>
            <w:vAlign w:val="center"/>
            <w:hideMark/>
          </w:tcPr>
          <w:p w14:paraId="07C2A35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Minimal</w:t>
            </w:r>
          </w:p>
        </w:tc>
        <w:tc>
          <w:tcPr>
            <w:tcW w:w="0" w:type="auto"/>
            <w:vAlign w:val="center"/>
            <w:hideMark/>
          </w:tcPr>
          <w:p w14:paraId="510168AB"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Advanced</w:t>
            </w:r>
          </w:p>
        </w:tc>
      </w:tr>
      <w:tr w:rsidR="00414C3B" w:rsidRPr="00414C3B" w14:paraId="575202DE" w14:textId="77777777" w:rsidTr="00414C3B">
        <w:trPr>
          <w:jc w:val="center"/>
        </w:trPr>
        <w:tc>
          <w:tcPr>
            <w:tcW w:w="0" w:type="auto"/>
            <w:vAlign w:val="center"/>
            <w:hideMark/>
          </w:tcPr>
          <w:p w14:paraId="6C6E503B"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Return on Investment</w:t>
            </w:r>
          </w:p>
        </w:tc>
        <w:tc>
          <w:tcPr>
            <w:tcW w:w="0" w:type="auto"/>
            <w:vAlign w:val="center"/>
            <w:hideMark/>
          </w:tcPr>
          <w:p w14:paraId="5F08E383"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Low</w:t>
            </w:r>
          </w:p>
        </w:tc>
        <w:tc>
          <w:tcPr>
            <w:tcW w:w="0" w:type="auto"/>
            <w:vAlign w:val="center"/>
            <w:hideMark/>
          </w:tcPr>
          <w:p w14:paraId="730D10FF"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High</w:t>
            </w:r>
          </w:p>
        </w:tc>
      </w:tr>
    </w:tbl>
    <w:p w14:paraId="22EB692E" w14:textId="77777777" w:rsidR="00414C3B" w:rsidRDefault="00414C3B" w:rsidP="00414C3B">
      <w:pPr>
        <w:spacing w:after="0" w:line="240" w:lineRule="auto"/>
        <w:jc w:val="center"/>
        <w:rPr>
          <w:rFonts w:ascii="Times New Roman" w:hAnsi="Times New Roman" w:cs="Times New Roman"/>
          <w:b/>
          <w:bCs/>
          <w:color w:val="000000" w:themeColor="text1"/>
          <w:sz w:val="24"/>
          <w:szCs w:val="24"/>
        </w:rPr>
      </w:pPr>
    </w:p>
    <w:p w14:paraId="0044DEC9" w14:textId="4F44F157" w:rsidR="00414C3B" w:rsidRPr="00414C3B" w:rsidRDefault="00414C3B" w:rsidP="00414C3B">
      <w:pPr>
        <w:spacing w:after="120" w:line="240" w:lineRule="auto"/>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Table 4: Productivity Improvement</w:t>
      </w:r>
    </w:p>
    <w:tbl>
      <w:tblPr>
        <w:tblStyle w:val="TableGrid"/>
        <w:tblW w:w="0" w:type="auto"/>
        <w:jc w:val="center"/>
        <w:tblLook w:val="04A0" w:firstRow="1" w:lastRow="0" w:firstColumn="1" w:lastColumn="0" w:noHBand="0" w:noVBand="1"/>
      </w:tblPr>
      <w:tblGrid>
        <w:gridCol w:w="3109"/>
        <w:gridCol w:w="1590"/>
        <w:gridCol w:w="1176"/>
      </w:tblGrid>
      <w:tr w:rsidR="00414C3B" w:rsidRPr="00414C3B" w14:paraId="40B4C9C9" w14:textId="77777777" w:rsidTr="00414C3B">
        <w:trPr>
          <w:jc w:val="center"/>
        </w:trPr>
        <w:tc>
          <w:tcPr>
            <w:tcW w:w="0" w:type="auto"/>
            <w:vAlign w:val="center"/>
            <w:hideMark/>
          </w:tcPr>
          <w:p w14:paraId="6D237A37"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Metric</w:t>
            </w:r>
          </w:p>
        </w:tc>
        <w:tc>
          <w:tcPr>
            <w:tcW w:w="0" w:type="auto"/>
            <w:vAlign w:val="center"/>
            <w:hideMark/>
          </w:tcPr>
          <w:p w14:paraId="05148ED7"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Conventional</w:t>
            </w:r>
          </w:p>
        </w:tc>
        <w:tc>
          <w:tcPr>
            <w:tcW w:w="0" w:type="auto"/>
            <w:vAlign w:val="center"/>
            <w:hideMark/>
          </w:tcPr>
          <w:p w14:paraId="00B87D8A" w14:textId="77777777" w:rsidR="00414C3B" w:rsidRPr="00414C3B" w:rsidRDefault="00414C3B" w:rsidP="00414C3B">
            <w:pPr>
              <w:jc w:val="center"/>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Proposed</w:t>
            </w:r>
          </w:p>
        </w:tc>
      </w:tr>
      <w:tr w:rsidR="00414C3B" w:rsidRPr="00414C3B" w14:paraId="12216425" w14:textId="77777777" w:rsidTr="00414C3B">
        <w:trPr>
          <w:jc w:val="center"/>
        </w:trPr>
        <w:tc>
          <w:tcPr>
            <w:tcW w:w="0" w:type="auto"/>
            <w:vAlign w:val="center"/>
            <w:hideMark/>
          </w:tcPr>
          <w:p w14:paraId="72ADF5C4"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Average cycle time (min)</w:t>
            </w:r>
          </w:p>
        </w:tc>
        <w:tc>
          <w:tcPr>
            <w:tcW w:w="0" w:type="auto"/>
            <w:vAlign w:val="center"/>
            <w:hideMark/>
          </w:tcPr>
          <w:p w14:paraId="16BA4C0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14.2</w:t>
            </w:r>
          </w:p>
        </w:tc>
        <w:tc>
          <w:tcPr>
            <w:tcW w:w="0" w:type="auto"/>
            <w:vAlign w:val="center"/>
            <w:hideMark/>
          </w:tcPr>
          <w:p w14:paraId="04036AB5"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11.1</w:t>
            </w:r>
          </w:p>
        </w:tc>
      </w:tr>
      <w:tr w:rsidR="00414C3B" w:rsidRPr="00414C3B" w14:paraId="4ABD0B4C" w14:textId="77777777" w:rsidTr="00414C3B">
        <w:trPr>
          <w:jc w:val="center"/>
        </w:trPr>
        <w:tc>
          <w:tcPr>
            <w:tcW w:w="0" w:type="auto"/>
            <w:vAlign w:val="center"/>
            <w:hideMark/>
          </w:tcPr>
          <w:p w14:paraId="260B905F"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Parts produced per shift</w:t>
            </w:r>
          </w:p>
        </w:tc>
        <w:tc>
          <w:tcPr>
            <w:tcW w:w="0" w:type="auto"/>
            <w:vAlign w:val="center"/>
            <w:hideMark/>
          </w:tcPr>
          <w:p w14:paraId="24AE5771"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68</w:t>
            </w:r>
          </w:p>
        </w:tc>
        <w:tc>
          <w:tcPr>
            <w:tcW w:w="0" w:type="auto"/>
            <w:vAlign w:val="center"/>
            <w:hideMark/>
          </w:tcPr>
          <w:p w14:paraId="4F5D561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87</w:t>
            </w:r>
          </w:p>
        </w:tc>
      </w:tr>
      <w:tr w:rsidR="00414C3B" w:rsidRPr="00414C3B" w14:paraId="2BA4C860" w14:textId="77777777" w:rsidTr="00414C3B">
        <w:trPr>
          <w:jc w:val="center"/>
        </w:trPr>
        <w:tc>
          <w:tcPr>
            <w:tcW w:w="0" w:type="auto"/>
            <w:vAlign w:val="center"/>
            <w:hideMark/>
          </w:tcPr>
          <w:p w14:paraId="51673302"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Setup adjustment time (min)</w:t>
            </w:r>
          </w:p>
        </w:tc>
        <w:tc>
          <w:tcPr>
            <w:tcW w:w="0" w:type="auto"/>
            <w:vAlign w:val="center"/>
            <w:hideMark/>
          </w:tcPr>
          <w:p w14:paraId="7F1CA9BE"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25</w:t>
            </w:r>
          </w:p>
        </w:tc>
        <w:tc>
          <w:tcPr>
            <w:tcW w:w="0" w:type="auto"/>
            <w:vAlign w:val="center"/>
            <w:hideMark/>
          </w:tcPr>
          <w:p w14:paraId="09A8CBF2"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9</w:t>
            </w:r>
          </w:p>
        </w:tc>
      </w:tr>
      <w:tr w:rsidR="00414C3B" w:rsidRPr="00414C3B" w14:paraId="1C7C3AC5" w14:textId="77777777" w:rsidTr="00414C3B">
        <w:trPr>
          <w:jc w:val="center"/>
        </w:trPr>
        <w:tc>
          <w:tcPr>
            <w:tcW w:w="0" w:type="auto"/>
            <w:vAlign w:val="center"/>
            <w:hideMark/>
          </w:tcPr>
          <w:p w14:paraId="6BA7CCF6"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Throughput improvement (%)</w:t>
            </w:r>
          </w:p>
        </w:tc>
        <w:tc>
          <w:tcPr>
            <w:tcW w:w="0" w:type="auto"/>
            <w:vAlign w:val="center"/>
            <w:hideMark/>
          </w:tcPr>
          <w:p w14:paraId="1F6EDB27"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w:t>
            </w:r>
          </w:p>
        </w:tc>
        <w:tc>
          <w:tcPr>
            <w:tcW w:w="0" w:type="auto"/>
            <w:vAlign w:val="center"/>
            <w:hideMark/>
          </w:tcPr>
          <w:p w14:paraId="7ADA1C4A" w14:textId="77777777" w:rsidR="00414C3B" w:rsidRPr="00414C3B" w:rsidRDefault="00414C3B" w:rsidP="00414C3B">
            <w:pPr>
              <w:jc w:val="center"/>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28.0</w:t>
            </w:r>
          </w:p>
        </w:tc>
      </w:tr>
    </w:tbl>
    <w:p w14:paraId="30C3E261" w14:textId="77777777" w:rsidR="00414C3B" w:rsidRPr="00414C3B" w:rsidRDefault="00414C3B" w:rsidP="00414C3B">
      <w:pPr>
        <w:spacing w:after="120" w:line="240" w:lineRule="auto"/>
        <w:jc w:val="both"/>
        <w:rPr>
          <w:rFonts w:ascii="Times New Roman" w:hAnsi="Times New Roman" w:cs="Times New Roman"/>
          <w:b/>
          <w:bCs/>
          <w:color w:val="000000" w:themeColor="text1"/>
          <w:sz w:val="10"/>
          <w:szCs w:val="10"/>
        </w:rPr>
      </w:pPr>
    </w:p>
    <w:p w14:paraId="64E76304" w14:textId="247ED526"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6. Conclusion</w:t>
      </w:r>
    </w:p>
    <w:p w14:paraId="1BCE8D49" w14:textId="77777777" w:rsidR="00414C3B" w:rsidRPr="00414C3B" w:rsidRDefault="00414C3B" w:rsidP="00414C3B">
      <w:pPr>
        <w:spacing w:after="120" w:line="240" w:lineRule="auto"/>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This paper presented an Industry 4.0–oriented CAD/CAM framework for real-time monitoring of manufacturing operations. By integrating CAD/CAM systems with IIoT, edge computing, and digital twin concepts, the framework enables continuous monitoring and adaptive control of machining processes. Experimental results demonstrate reduced latency, improved tool condition detection, and lower downtime. The proposed approach enhances manufacturing efficiency and aligns with the goals of smart manufacturing. Future work will focus on incorporating advanced machine learning algorithms for predictive analytics and extending the framework to multi-machine environments.</w:t>
      </w:r>
    </w:p>
    <w:p w14:paraId="5E0EF485" w14:textId="77777777" w:rsidR="00414C3B" w:rsidRPr="00414C3B" w:rsidRDefault="00414C3B" w:rsidP="00414C3B">
      <w:pPr>
        <w:spacing w:after="120" w:line="240" w:lineRule="auto"/>
        <w:jc w:val="both"/>
        <w:rPr>
          <w:rFonts w:ascii="Times New Roman" w:hAnsi="Times New Roman" w:cs="Times New Roman"/>
          <w:b/>
          <w:bCs/>
          <w:color w:val="000000" w:themeColor="text1"/>
          <w:sz w:val="24"/>
          <w:szCs w:val="24"/>
        </w:rPr>
      </w:pPr>
      <w:r w:rsidRPr="00414C3B">
        <w:rPr>
          <w:rFonts w:ascii="Times New Roman" w:hAnsi="Times New Roman" w:cs="Times New Roman"/>
          <w:b/>
          <w:bCs/>
          <w:color w:val="000000" w:themeColor="text1"/>
          <w:sz w:val="24"/>
          <w:szCs w:val="24"/>
        </w:rPr>
        <w:t xml:space="preserve">References </w:t>
      </w:r>
    </w:p>
    <w:p w14:paraId="7EC78BB2" w14:textId="157C16D8"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J. Sääski, “Integration of CAD, CAM and NC with STEP-NC,” </w:t>
      </w:r>
      <w:r w:rsidRPr="00414C3B">
        <w:rPr>
          <w:rFonts w:ascii="Times New Roman" w:hAnsi="Times New Roman" w:cs="Times New Roman"/>
          <w:i/>
          <w:iCs/>
          <w:color w:val="000000" w:themeColor="text1"/>
          <w:sz w:val="24"/>
          <w:szCs w:val="24"/>
        </w:rPr>
        <w:t>VTT Technical Research Centre of Finland</w:t>
      </w:r>
      <w:r w:rsidRPr="00414C3B">
        <w:rPr>
          <w:rFonts w:ascii="Times New Roman" w:hAnsi="Times New Roman" w:cs="Times New Roman"/>
          <w:color w:val="000000" w:themeColor="text1"/>
          <w:sz w:val="24"/>
          <w:szCs w:val="24"/>
        </w:rPr>
        <w:t>, Working Paper, 2005.</w:t>
      </w:r>
    </w:p>
    <w:p w14:paraId="484735C2" w14:textId="36E0B7B2"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J. Downey </w:t>
      </w:r>
      <w:r w:rsidRPr="00414C3B">
        <w:rPr>
          <w:rFonts w:ascii="Times New Roman" w:hAnsi="Times New Roman" w:cs="Times New Roman"/>
          <w:i/>
          <w:iCs/>
          <w:color w:val="000000" w:themeColor="text1"/>
          <w:sz w:val="24"/>
          <w:szCs w:val="24"/>
        </w:rPr>
        <w:t>et al.</w:t>
      </w:r>
      <w:r w:rsidRPr="00414C3B">
        <w:rPr>
          <w:rFonts w:ascii="Times New Roman" w:hAnsi="Times New Roman" w:cs="Times New Roman"/>
          <w:color w:val="000000" w:themeColor="text1"/>
          <w:sz w:val="24"/>
          <w:szCs w:val="24"/>
        </w:rPr>
        <w:t xml:space="preserve">, “Real-time monitoring of the CNC process in a production environment,” </w:t>
      </w:r>
      <w:r w:rsidRPr="00414C3B">
        <w:rPr>
          <w:rFonts w:ascii="Times New Roman" w:hAnsi="Times New Roman" w:cs="Times New Roman"/>
          <w:i/>
          <w:iCs/>
          <w:color w:val="000000" w:themeColor="text1"/>
          <w:sz w:val="24"/>
          <w:szCs w:val="24"/>
        </w:rPr>
        <w:t>Procedia CIRP</w:t>
      </w:r>
      <w:r w:rsidRPr="00414C3B">
        <w:rPr>
          <w:rFonts w:ascii="Times New Roman" w:hAnsi="Times New Roman" w:cs="Times New Roman"/>
          <w:color w:val="000000" w:themeColor="text1"/>
          <w:sz w:val="24"/>
          <w:szCs w:val="24"/>
        </w:rPr>
        <w:t>, vol. 41, pp. 990–995, 2016.</w:t>
      </w:r>
    </w:p>
    <w:p w14:paraId="6EE62452" w14:textId="76825E90"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D. B. Upadhyay, “STEP-NC standard for integration of CAD and CAM,” </w:t>
      </w:r>
      <w:r w:rsidRPr="00414C3B">
        <w:rPr>
          <w:rFonts w:ascii="Times New Roman" w:hAnsi="Times New Roman" w:cs="Times New Roman"/>
          <w:i/>
          <w:iCs/>
          <w:color w:val="000000" w:themeColor="text1"/>
          <w:sz w:val="24"/>
          <w:szCs w:val="24"/>
        </w:rPr>
        <w:t>International Journal of Engineering Development and Research</w:t>
      </w:r>
      <w:r w:rsidRPr="00414C3B">
        <w:rPr>
          <w:rFonts w:ascii="Times New Roman" w:hAnsi="Times New Roman" w:cs="Times New Roman"/>
          <w:color w:val="000000" w:themeColor="text1"/>
          <w:sz w:val="24"/>
          <w:szCs w:val="24"/>
        </w:rPr>
        <w:t>, vol. 2, no. 3, 2014.</w:t>
      </w:r>
    </w:p>
    <w:p w14:paraId="0E0C5D9F" w14:textId="25A521E9"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Arioua </w:t>
      </w:r>
      <w:r w:rsidRPr="00414C3B">
        <w:rPr>
          <w:rFonts w:ascii="Times New Roman" w:hAnsi="Times New Roman" w:cs="Times New Roman"/>
          <w:i/>
          <w:iCs/>
          <w:color w:val="000000" w:themeColor="text1"/>
          <w:sz w:val="24"/>
          <w:szCs w:val="24"/>
        </w:rPr>
        <w:t>et al.</w:t>
      </w:r>
      <w:r w:rsidRPr="00414C3B">
        <w:rPr>
          <w:rFonts w:ascii="Times New Roman" w:hAnsi="Times New Roman" w:cs="Times New Roman"/>
          <w:color w:val="000000" w:themeColor="text1"/>
          <w:sz w:val="24"/>
          <w:szCs w:val="24"/>
        </w:rPr>
        <w:t xml:space="preserve">, “Digital twins in Industry 4.0: A literature review,” </w:t>
      </w:r>
      <w:r w:rsidRPr="00414C3B">
        <w:rPr>
          <w:rFonts w:ascii="Times New Roman" w:hAnsi="Times New Roman" w:cs="Times New Roman"/>
          <w:i/>
          <w:iCs/>
          <w:color w:val="000000" w:themeColor="text1"/>
          <w:sz w:val="24"/>
          <w:szCs w:val="24"/>
        </w:rPr>
        <w:t>Machines</w:t>
      </w:r>
      <w:r w:rsidRPr="00414C3B">
        <w:rPr>
          <w:rFonts w:ascii="Times New Roman" w:hAnsi="Times New Roman" w:cs="Times New Roman"/>
          <w:color w:val="000000" w:themeColor="text1"/>
          <w:sz w:val="24"/>
          <w:szCs w:val="24"/>
        </w:rPr>
        <w:t>, vol. 11, no. 2, 2023.</w:t>
      </w:r>
    </w:p>
    <w:p w14:paraId="0B704BBF" w14:textId="3A51CC3D"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I. Halenar </w:t>
      </w:r>
      <w:r w:rsidRPr="00414C3B">
        <w:rPr>
          <w:rFonts w:ascii="Times New Roman" w:hAnsi="Times New Roman" w:cs="Times New Roman"/>
          <w:i/>
          <w:iCs/>
          <w:color w:val="000000" w:themeColor="text1"/>
          <w:sz w:val="24"/>
          <w:szCs w:val="24"/>
        </w:rPr>
        <w:t>et al.</w:t>
      </w:r>
      <w:r w:rsidRPr="00414C3B">
        <w:rPr>
          <w:rFonts w:ascii="Times New Roman" w:hAnsi="Times New Roman" w:cs="Times New Roman"/>
          <w:color w:val="000000" w:themeColor="text1"/>
          <w:sz w:val="24"/>
          <w:szCs w:val="24"/>
        </w:rPr>
        <w:t xml:space="preserve">, “Machine condition monitoring system based on edge computing,” </w:t>
      </w:r>
      <w:r w:rsidRPr="00414C3B">
        <w:rPr>
          <w:rFonts w:ascii="Times New Roman" w:hAnsi="Times New Roman" w:cs="Times New Roman"/>
          <w:i/>
          <w:iCs/>
          <w:color w:val="000000" w:themeColor="text1"/>
          <w:sz w:val="24"/>
          <w:szCs w:val="24"/>
        </w:rPr>
        <w:t>Sensors</w:t>
      </w:r>
      <w:r w:rsidRPr="00414C3B">
        <w:rPr>
          <w:rFonts w:ascii="Times New Roman" w:hAnsi="Times New Roman" w:cs="Times New Roman"/>
          <w:color w:val="000000" w:themeColor="text1"/>
          <w:sz w:val="24"/>
          <w:szCs w:val="24"/>
        </w:rPr>
        <w:t>, vol. 24, no. 3, 2024.</w:t>
      </w:r>
    </w:p>
    <w:p w14:paraId="6E168D97" w14:textId="67FFF53B"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H. Lam </w:t>
      </w:r>
      <w:r w:rsidRPr="00414C3B">
        <w:rPr>
          <w:rFonts w:ascii="Times New Roman" w:hAnsi="Times New Roman" w:cs="Times New Roman"/>
          <w:i/>
          <w:iCs/>
          <w:color w:val="000000" w:themeColor="text1"/>
          <w:sz w:val="24"/>
          <w:szCs w:val="24"/>
        </w:rPr>
        <w:t>et al.</w:t>
      </w:r>
      <w:r w:rsidRPr="00414C3B">
        <w:rPr>
          <w:rFonts w:ascii="Times New Roman" w:hAnsi="Times New Roman" w:cs="Times New Roman"/>
          <w:color w:val="000000" w:themeColor="text1"/>
          <w:sz w:val="24"/>
          <w:szCs w:val="24"/>
        </w:rPr>
        <w:t xml:space="preserve">, “Building a digital twin of a CNC machine tool,” </w:t>
      </w:r>
      <w:r w:rsidRPr="00414C3B">
        <w:rPr>
          <w:rFonts w:ascii="Times New Roman" w:hAnsi="Times New Roman" w:cs="Times New Roman"/>
          <w:i/>
          <w:iCs/>
          <w:color w:val="000000" w:themeColor="text1"/>
          <w:sz w:val="24"/>
          <w:szCs w:val="24"/>
        </w:rPr>
        <w:t>NIST Technical Report</w:t>
      </w:r>
      <w:r w:rsidRPr="00414C3B">
        <w:rPr>
          <w:rFonts w:ascii="Times New Roman" w:hAnsi="Times New Roman" w:cs="Times New Roman"/>
          <w:color w:val="000000" w:themeColor="text1"/>
          <w:sz w:val="24"/>
          <w:szCs w:val="24"/>
        </w:rPr>
        <w:t>, 2024.</w:t>
      </w:r>
    </w:p>
    <w:p w14:paraId="7242C453" w14:textId="500AD04B"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L. Monostori, “Cyber-physical production systems: Roots, expectations and R&amp;D challenges,” </w:t>
      </w:r>
      <w:r w:rsidRPr="00414C3B">
        <w:rPr>
          <w:rFonts w:ascii="Times New Roman" w:hAnsi="Times New Roman" w:cs="Times New Roman"/>
          <w:i/>
          <w:iCs/>
          <w:color w:val="000000" w:themeColor="text1"/>
          <w:sz w:val="24"/>
          <w:szCs w:val="24"/>
        </w:rPr>
        <w:t>Procedia CIRP</w:t>
      </w:r>
      <w:r w:rsidRPr="00414C3B">
        <w:rPr>
          <w:rFonts w:ascii="Times New Roman" w:hAnsi="Times New Roman" w:cs="Times New Roman"/>
          <w:color w:val="000000" w:themeColor="text1"/>
          <w:sz w:val="24"/>
          <w:szCs w:val="24"/>
        </w:rPr>
        <w:t>, vol. 17, pp. 9–13, 2014.</w:t>
      </w:r>
    </w:p>
    <w:p w14:paraId="0672A8B4" w14:textId="2C871A05"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J. Lee, B. Bagheri, and H.-A. Kao, “A cyber-physical systems architecture for Industry 4.0-based manufacturing systems,” </w:t>
      </w:r>
      <w:r w:rsidRPr="00414C3B">
        <w:rPr>
          <w:rFonts w:ascii="Times New Roman" w:hAnsi="Times New Roman" w:cs="Times New Roman"/>
          <w:i/>
          <w:iCs/>
          <w:color w:val="000000" w:themeColor="text1"/>
          <w:sz w:val="24"/>
          <w:szCs w:val="24"/>
        </w:rPr>
        <w:t>Manufacturing Letters</w:t>
      </w:r>
      <w:r w:rsidRPr="00414C3B">
        <w:rPr>
          <w:rFonts w:ascii="Times New Roman" w:hAnsi="Times New Roman" w:cs="Times New Roman"/>
          <w:color w:val="000000" w:themeColor="text1"/>
          <w:sz w:val="24"/>
          <w:szCs w:val="24"/>
        </w:rPr>
        <w:t>, vol. 3, pp. 18–23, 2015.</w:t>
      </w:r>
    </w:p>
    <w:p w14:paraId="77BEC14D" w14:textId="0251DFEA"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S. Wang, J. Wan, D. Zhang, D. Li, and C. Zhang, “Towards smart factory for Industry 4.0: A self-organized multi-agent system with big-data-based feedback and coordination,” </w:t>
      </w:r>
      <w:r w:rsidRPr="00414C3B">
        <w:rPr>
          <w:rFonts w:ascii="Times New Roman" w:hAnsi="Times New Roman" w:cs="Times New Roman"/>
          <w:i/>
          <w:iCs/>
          <w:color w:val="000000" w:themeColor="text1"/>
          <w:sz w:val="24"/>
          <w:szCs w:val="24"/>
        </w:rPr>
        <w:t>Computer Networks</w:t>
      </w:r>
      <w:r w:rsidRPr="00414C3B">
        <w:rPr>
          <w:rFonts w:ascii="Times New Roman" w:hAnsi="Times New Roman" w:cs="Times New Roman"/>
          <w:color w:val="000000" w:themeColor="text1"/>
          <w:sz w:val="24"/>
          <w:szCs w:val="24"/>
        </w:rPr>
        <w:t>, vol. 101, pp. 158–168, 2016.</w:t>
      </w:r>
    </w:p>
    <w:p w14:paraId="6C0AA4DA" w14:textId="26A23B3D"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Grieves and J. Vickers, “Digital twin: Mitigating unpredictable, undesirable emergent behavior in complex systems,” in </w:t>
      </w:r>
      <w:r w:rsidRPr="00414C3B">
        <w:rPr>
          <w:rFonts w:ascii="Times New Roman" w:hAnsi="Times New Roman" w:cs="Times New Roman"/>
          <w:i/>
          <w:iCs/>
          <w:color w:val="000000" w:themeColor="text1"/>
          <w:sz w:val="24"/>
          <w:szCs w:val="24"/>
        </w:rPr>
        <w:t>Transdisciplinary Perspectives on Complex Systems</w:t>
      </w:r>
      <w:r w:rsidRPr="00414C3B">
        <w:rPr>
          <w:rFonts w:ascii="Times New Roman" w:hAnsi="Times New Roman" w:cs="Times New Roman"/>
          <w:color w:val="000000" w:themeColor="text1"/>
          <w:sz w:val="24"/>
          <w:szCs w:val="24"/>
        </w:rPr>
        <w:t>, Springer, pp. 85–113, 2017.</w:t>
      </w:r>
    </w:p>
    <w:p w14:paraId="6F631F07" w14:textId="61BA9F5F"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A. Kusiak, “Smart manufacturing,” </w:t>
      </w:r>
      <w:r w:rsidRPr="00414C3B">
        <w:rPr>
          <w:rFonts w:ascii="Times New Roman" w:hAnsi="Times New Roman" w:cs="Times New Roman"/>
          <w:i/>
          <w:iCs/>
          <w:color w:val="000000" w:themeColor="text1"/>
          <w:sz w:val="24"/>
          <w:szCs w:val="24"/>
        </w:rPr>
        <w:t>International Journal of Production Research</w:t>
      </w:r>
      <w:r w:rsidRPr="00414C3B">
        <w:rPr>
          <w:rFonts w:ascii="Times New Roman" w:hAnsi="Times New Roman" w:cs="Times New Roman"/>
          <w:color w:val="000000" w:themeColor="text1"/>
          <w:sz w:val="24"/>
          <w:szCs w:val="24"/>
        </w:rPr>
        <w:t>, vol. 56, no. 1–2, pp. 508–517, 2018.</w:t>
      </w:r>
    </w:p>
    <w:p w14:paraId="48AA35AC" w14:textId="19580FDA"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lastRenderedPageBreak/>
        <w:t xml:space="preserve">P. Zheng, H. Wang, Z. Sang, </w:t>
      </w:r>
      <w:r w:rsidRPr="00414C3B">
        <w:rPr>
          <w:rFonts w:ascii="Times New Roman" w:hAnsi="Times New Roman" w:cs="Times New Roman"/>
          <w:i/>
          <w:iCs/>
          <w:color w:val="000000" w:themeColor="text1"/>
          <w:sz w:val="24"/>
          <w:szCs w:val="24"/>
        </w:rPr>
        <w:t>et al.</w:t>
      </w:r>
      <w:r w:rsidRPr="00414C3B">
        <w:rPr>
          <w:rFonts w:ascii="Times New Roman" w:hAnsi="Times New Roman" w:cs="Times New Roman"/>
          <w:color w:val="000000" w:themeColor="text1"/>
          <w:sz w:val="24"/>
          <w:szCs w:val="24"/>
        </w:rPr>
        <w:t xml:space="preserve">, “Smart manufacturing systems for Industry 4.0: Conceptual framework, scenarios, and future perspectives,” </w:t>
      </w:r>
      <w:r w:rsidRPr="00414C3B">
        <w:rPr>
          <w:rFonts w:ascii="Times New Roman" w:hAnsi="Times New Roman" w:cs="Times New Roman"/>
          <w:i/>
          <w:iCs/>
          <w:color w:val="000000" w:themeColor="text1"/>
          <w:sz w:val="24"/>
          <w:szCs w:val="24"/>
        </w:rPr>
        <w:t>Frontiers of Mechanical Engineering</w:t>
      </w:r>
      <w:r w:rsidRPr="00414C3B">
        <w:rPr>
          <w:rFonts w:ascii="Times New Roman" w:hAnsi="Times New Roman" w:cs="Times New Roman"/>
          <w:color w:val="000000" w:themeColor="text1"/>
          <w:sz w:val="24"/>
          <w:szCs w:val="24"/>
        </w:rPr>
        <w:t>, vol. 13, pp. 137–150, 2018.</w:t>
      </w:r>
    </w:p>
    <w:p w14:paraId="44D9D124" w14:textId="66D8CD46"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F. Tao, H. Zhang, A. Liu, and A. Nee, “Digital twin-driven product design, manufacturing and service with big data,” </w:t>
      </w:r>
      <w:r w:rsidRPr="00414C3B">
        <w:rPr>
          <w:rFonts w:ascii="Times New Roman" w:hAnsi="Times New Roman" w:cs="Times New Roman"/>
          <w:i/>
          <w:iCs/>
          <w:color w:val="000000" w:themeColor="text1"/>
          <w:sz w:val="24"/>
          <w:szCs w:val="24"/>
        </w:rPr>
        <w:t>International Journal of Advanced Manufacturing Technology</w:t>
      </w:r>
      <w:r w:rsidRPr="00414C3B">
        <w:rPr>
          <w:rFonts w:ascii="Times New Roman" w:hAnsi="Times New Roman" w:cs="Times New Roman"/>
          <w:color w:val="000000" w:themeColor="text1"/>
          <w:sz w:val="24"/>
          <w:szCs w:val="24"/>
        </w:rPr>
        <w:t>, vol. 94, pp. 3563–3576, 2018.</w:t>
      </w:r>
    </w:p>
    <w:p w14:paraId="73391AC1" w14:textId="237E3430"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P. Bhanodia, S. Patel, D. Mishra, R. Shukla, and D. K. Sharma, “Design and exploration of data-handling quantum-computational computer circuits for the implementation of ultra-area and low-power devices,” in </w:t>
      </w:r>
      <w:r w:rsidRPr="00414C3B">
        <w:rPr>
          <w:rFonts w:ascii="Times New Roman" w:hAnsi="Times New Roman" w:cs="Times New Roman"/>
          <w:i/>
          <w:iCs/>
          <w:color w:val="000000" w:themeColor="text1"/>
          <w:sz w:val="24"/>
          <w:szCs w:val="24"/>
        </w:rPr>
        <w:t>Proc. Int. Conf. Artificial Intelligence, Computing, IoT and Data Analytics</w:t>
      </w:r>
      <w:r w:rsidRPr="00414C3B">
        <w:rPr>
          <w:rFonts w:ascii="Times New Roman" w:hAnsi="Times New Roman" w:cs="Times New Roman"/>
          <w:color w:val="000000" w:themeColor="text1"/>
          <w:sz w:val="24"/>
          <w:szCs w:val="24"/>
        </w:rPr>
        <w:t>, 2023.</w:t>
      </w:r>
    </w:p>
    <w:p w14:paraId="70C465A8" w14:textId="7A7FD1BA"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R. Yadav, P. Moghe, M. Patidar, V. Jain, M. Tembhurney, and P. K. Patidar, “Performance analysis of side lobe reduction for smart antenna systems using genetic algorithms,” in </w:t>
      </w:r>
      <w:r w:rsidRPr="00414C3B">
        <w:rPr>
          <w:rFonts w:ascii="Times New Roman" w:hAnsi="Times New Roman" w:cs="Times New Roman"/>
          <w:i/>
          <w:iCs/>
          <w:color w:val="000000" w:themeColor="text1"/>
          <w:sz w:val="24"/>
          <w:szCs w:val="24"/>
        </w:rPr>
        <w:t>Proc. IEEE Int. Conf.</w:t>
      </w:r>
      <w:r w:rsidRPr="00414C3B">
        <w:rPr>
          <w:rFonts w:ascii="Times New Roman" w:hAnsi="Times New Roman" w:cs="Times New Roman"/>
          <w:color w:val="000000" w:themeColor="text1"/>
          <w:sz w:val="24"/>
          <w:szCs w:val="24"/>
        </w:rPr>
        <w:t>, 2023.</w:t>
      </w:r>
    </w:p>
    <w:p w14:paraId="397CCE80" w14:textId="2298C1D7"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S. K. Shukla, V. Tiwari, G. K. Prajapati, and M. Sahu, “An efficient design and implementation of a reversible logic CCNOT (Toffoli) gate in QCA for nanotechnology,” </w:t>
      </w:r>
      <w:r w:rsidRPr="00414C3B">
        <w:rPr>
          <w:rFonts w:ascii="Times New Roman" w:hAnsi="Times New Roman" w:cs="Times New Roman"/>
          <w:i/>
          <w:iCs/>
          <w:color w:val="000000" w:themeColor="text1"/>
          <w:sz w:val="24"/>
          <w:szCs w:val="24"/>
        </w:rPr>
        <w:t>Materials Today: Proceedings</w:t>
      </w:r>
      <w:r w:rsidRPr="00414C3B">
        <w:rPr>
          <w:rFonts w:ascii="Times New Roman" w:hAnsi="Times New Roman" w:cs="Times New Roman"/>
          <w:color w:val="000000" w:themeColor="text1"/>
          <w:sz w:val="24"/>
          <w:szCs w:val="24"/>
        </w:rPr>
        <w:t>, Elsevier, 2023.</w:t>
      </w:r>
    </w:p>
    <w:p w14:paraId="040AD0B5" w14:textId="303AF351"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D. K. Sharma, P. Goyal, M. Patidar, M. H. Bhupatbhai, and M. Rangari, “An efficient design and demonstration of fault-effects in full-adder circuits based on quantum-dot computing circuits,” </w:t>
      </w:r>
      <w:r w:rsidRPr="00414C3B">
        <w:rPr>
          <w:rFonts w:ascii="Times New Roman" w:hAnsi="Times New Roman" w:cs="Times New Roman"/>
          <w:i/>
          <w:iCs/>
          <w:color w:val="000000" w:themeColor="text1"/>
          <w:sz w:val="24"/>
          <w:szCs w:val="24"/>
        </w:rPr>
        <w:t>Materials Today: Proceedings</w:t>
      </w:r>
      <w:r w:rsidRPr="00414C3B">
        <w:rPr>
          <w:rFonts w:ascii="Times New Roman" w:hAnsi="Times New Roman" w:cs="Times New Roman"/>
          <w:color w:val="000000" w:themeColor="text1"/>
          <w:sz w:val="24"/>
          <w:szCs w:val="24"/>
        </w:rPr>
        <w:t>, Elsevier, 2023.</w:t>
      </w:r>
    </w:p>
    <w:p w14:paraId="2DF558D1" w14:textId="4A1B3022"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N. Gupta, A. Jain, and N. Patidar, “The role of nanoelectronic devices in a smart city ecosystem,” in </w:t>
      </w:r>
      <w:r w:rsidRPr="00414C3B">
        <w:rPr>
          <w:rFonts w:ascii="Times New Roman" w:hAnsi="Times New Roman" w:cs="Times New Roman"/>
          <w:i/>
          <w:iCs/>
          <w:color w:val="000000" w:themeColor="text1"/>
          <w:sz w:val="24"/>
          <w:szCs w:val="24"/>
        </w:rPr>
        <w:t>AI-Centric Smart City Ecosystems</w:t>
      </w:r>
      <w:r w:rsidRPr="00414C3B">
        <w:rPr>
          <w:rFonts w:ascii="Times New Roman" w:hAnsi="Times New Roman" w:cs="Times New Roman"/>
          <w:color w:val="000000" w:themeColor="text1"/>
          <w:sz w:val="24"/>
          <w:szCs w:val="24"/>
        </w:rPr>
        <w:t>, CRC Press, Taylor &amp; Francis Group, pp. 85–109, 2023.</w:t>
      </w:r>
    </w:p>
    <w:p w14:paraId="385D1215" w14:textId="6AB571BF"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N. Gupta, A. Jain, N. Patidar, A. Khang, S. Rani, and A. K. Sivaraman, </w:t>
      </w:r>
      <w:r w:rsidRPr="00414C3B">
        <w:rPr>
          <w:rFonts w:ascii="Times New Roman" w:hAnsi="Times New Roman" w:cs="Times New Roman"/>
          <w:i/>
          <w:iCs/>
          <w:color w:val="000000" w:themeColor="text1"/>
          <w:sz w:val="24"/>
          <w:szCs w:val="24"/>
        </w:rPr>
        <w:t>AI-Centric Smart City Ecosystems: Technologies, Design and Implementation</w:t>
      </w:r>
      <w:r w:rsidRPr="00414C3B">
        <w:rPr>
          <w:rFonts w:ascii="Times New Roman" w:hAnsi="Times New Roman" w:cs="Times New Roman"/>
          <w:color w:val="000000" w:themeColor="text1"/>
          <w:sz w:val="24"/>
          <w:szCs w:val="24"/>
        </w:rPr>
        <w:t>, CRC Press, Taylor &amp; Francis Group, 2022.</w:t>
      </w:r>
    </w:p>
    <w:p w14:paraId="658B8665" w14:textId="0E0F6FA3"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U. Singh, S. K. Shukla, G. K. Prajapati, and N. Gupta, “An ultra-area-efficient ALU design in QCA technology using synchronized clock zone scheme,” </w:t>
      </w:r>
      <w:r w:rsidRPr="00414C3B">
        <w:rPr>
          <w:rFonts w:ascii="Times New Roman" w:hAnsi="Times New Roman" w:cs="Times New Roman"/>
          <w:i/>
          <w:iCs/>
          <w:color w:val="000000" w:themeColor="text1"/>
          <w:sz w:val="24"/>
          <w:szCs w:val="24"/>
        </w:rPr>
        <w:t>The Journal of Supercomputing</w:t>
      </w:r>
      <w:r w:rsidRPr="00414C3B">
        <w:rPr>
          <w:rFonts w:ascii="Times New Roman" w:hAnsi="Times New Roman" w:cs="Times New Roman"/>
          <w:color w:val="000000" w:themeColor="text1"/>
          <w:sz w:val="24"/>
          <w:szCs w:val="24"/>
        </w:rPr>
        <w:t>, Springer Nature, pp. 1–30, 2022.</w:t>
      </w:r>
    </w:p>
    <w:p w14:paraId="34AFB792" w14:textId="614E0F70"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A. Tiwari, M. Patidar, A. Jain, N. Patidar, and N. Gupta, “Efficient designs of high-speed combinational circuits and optimal solutions using 45-degree cell orientation in QCA nanotechnology,” </w:t>
      </w:r>
      <w:r w:rsidRPr="00414C3B">
        <w:rPr>
          <w:rFonts w:ascii="Times New Roman" w:hAnsi="Times New Roman" w:cs="Times New Roman"/>
          <w:i/>
          <w:iCs/>
          <w:color w:val="000000" w:themeColor="text1"/>
          <w:sz w:val="24"/>
          <w:szCs w:val="24"/>
        </w:rPr>
        <w:t>Materials Today: Proceedings</w:t>
      </w:r>
      <w:r w:rsidRPr="00414C3B">
        <w:rPr>
          <w:rFonts w:ascii="Times New Roman" w:hAnsi="Times New Roman" w:cs="Times New Roman"/>
          <w:color w:val="000000" w:themeColor="text1"/>
          <w:sz w:val="24"/>
          <w:szCs w:val="24"/>
        </w:rPr>
        <w:t xml:space="preserve">, vol. 66, pp. 3465–3473, 2022. </w:t>
      </w:r>
      <w:hyperlink r:id="rId11" w:tgtFrame="_blank" w:tooltip="Persistent link using digital object identifier" w:history="1">
        <w:r w:rsidRPr="00414C3B">
          <w:rPr>
            <w:rStyle w:val="Hyperlink"/>
            <w:rFonts w:ascii="Times New Roman" w:hAnsi="Times New Roman" w:cs="Times New Roman"/>
            <w:color w:val="000000" w:themeColor="text1"/>
            <w:sz w:val="24"/>
            <w:szCs w:val="24"/>
            <w:u w:val="none"/>
          </w:rPr>
          <w:t>https://doi.org/10.1016/j.matpr.2022.06.174</w:t>
        </w:r>
      </w:hyperlink>
      <w:r w:rsidRPr="00414C3B">
        <w:rPr>
          <w:rFonts w:ascii="Times New Roman" w:hAnsi="Times New Roman" w:cs="Times New Roman"/>
          <w:color w:val="000000" w:themeColor="text1"/>
          <w:sz w:val="24"/>
          <w:szCs w:val="24"/>
        </w:rPr>
        <w:t xml:space="preserve"> </w:t>
      </w:r>
    </w:p>
    <w:p w14:paraId="54221E93" w14:textId="364A78B4"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A. Shrivastava, S. Miah, Y. Kumar, and A. K. Sivaraman, “An energy-efficient high-speed quantum-dot based full adder design and parity gate for nano application,” </w:t>
      </w:r>
      <w:r w:rsidRPr="00414C3B">
        <w:rPr>
          <w:rFonts w:ascii="Times New Roman" w:hAnsi="Times New Roman" w:cs="Times New Roman"/>
          <w:i/>
          <w:iCs/>
          <w:color w:val="000000" w:themeColor="text1"/>
          <w:sz w:val="24"/>
          <w:szCs w:val="24"/>
        </w:rPr>
        <w:t>Materials Today: Proceedings</w:t>
      </w:r>
      <w:r w:rsidRPr="00414C3B">
        <w:rPr>
          <w:rFonts w:ascii="Times New Roman" w:hAnsi="Times New Roman" w:cs="Times New Roman"/>
          <w:color w:val="000000" w:themeColor="text1"/>
          <w:sz w:val="24"/>
          <w:szCs w:val="24"/>
        </w:rPr>
        <w:t>, vol. 62, pp. 4880–4890, 2022.</w:t>
      </w:r>
    </w:p>
    <w:p w14:paraId="3BFBD2A2" w14:textId="37CC9D2F"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A. Jain, and A. Tiwari, “An ultra-area-efficient full adder circuits design based on nanoscale QCA technology,” </w:t>
      </w:r>
      <w:r w:rsidRPr="00414C3B">
        <w:rPr>
          <w:rFonts w:ascii="Times New Roman" w:hAnsi="Times New Roman" w:cs="Times New Roman"/>
          <w:i/>
          <w:iCs/>
          <w:color w:val="000000" w:themeColor="text1"/>
          <w:sz w:val="24"/>
          <w:szCs w:val="24"/>
        </w:rPr>
        <w:t>Design Engineering</w:t>
      </w:r>
      <w:r w:rsidRPr="00414C3B">
        <w:rPr>
          <w:rFonts w:ascii="Times New Roman" w:hAnsi="Times New Roman" w:cs="Times New Roman"/>
          <w:color w:val="000000" w:themeColor="text1"/>
          <w:sz w:val="24"/>
          <w:szCs w:val="24"/>
        </w:rPr>
        <w:t>, no. 9, pp. 3713–3728, 2021.</w:t>
      </w:r>
    </w:p>
    <w:p w14:paraId="46CC538A" w14:textId="04978B5C"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K. Schwab, </w:t>
      </w:r>
      <w:r w:rsidRPr="00414C3B">
        <w:rPr>
          <w:rFonts w:ascii="Times New Roman" w:hAnsi="Times New Roman" w:cs="Times New Roman"/>
          <w:i/>
          <w:iCs/>
          <w:color w:val="000000" w:themeColor="text1"/>
          <w:sz w:val="24"/>
          <w:szCs w:val="24"/>
        </w:rPr>
        <w:t>The Fourth Industrial Revolution</w:t>
      </w:r>
      <w:r w:rsidRPr="00414C3B">
        <w:rPr>
          <w:rFonts w:ascii="Times New Roman" w:hAnsi="Times New Roman" w:cs="Times New Roman"/>
          <w:color w:val="000000" w:themeColor="text1"/>
          <w:sz w:val="24"/>
          <w:szCs w:val="24"/>
        </w:rPr>
        <w:t>, World Economic Forum, Geneva, Switzerland, 2016.</w:t>
      </w:r>
    </w:p>
    <w:p w14:paraId="27ADA1F0" w14:textId="2B871986"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R. Drath and A. Horch, “Industrie 4.0: Hit or hype? [Industry Forum],” </w:t>
      </w:r>
      <w:r w:rsidRPr="00414C3B">
        <w:rPr>
          <w:rFonts w:ascii="Times New Roman" w:hAnsi="Times New Roman" w:cs="Times New Roman"/>
          <w:i/>
          <w:iCs/>
          <w:color w:val="000000" w:themeColor="text1"/>
          <w:sz w:val="24"/>
          <w:szCs w:val="24"/>
        </w:rPr>
        <w:t>IEEE Industrial Electronics Magazine</w:t>
      </w:r>
      <w:r w:rsidRPr="00414C3B">
        <w:rPr>
          <w:rFonts w:ascii="Times New Roman" w:hAnsi="Times New Roman" w:cs="Times New Roman"/>
          <w:color w:val="000000" w:themeColor="text1"/>
          <w:sz w:val="24"/>
          <w:szCs w:val="24"/>
        </w:rPr>
        <w:t>, vol. 8, no. 2, pp. 56–58, Jun. 2014.</w:t>
      </w:r>
    </w:p>
    <w:p w14:paraId="4B2A2EA2" w14:textId="32FCB201"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T. Stock and G. Seliger, “Opportunities of sustainable manufacturing in Industry 4.0,” </w:t>
      </w:r>
      <w:r w:rsidRPr="00414C3B">
        <w:rPr>
          <w:rFonts w:ascii="Times New Roman" w:hAnsi="Times New Roman" w:cs="Times New Roman"/>
          <w:i/>
          <w:iCs/>
          <w:color w:val="000000" w:themeColor="text1"/>
          <w:sz w:val="24"/>
          <w:szCs w:val="24"/>
        </w:rPr>
        <w:t>Procedia CIRP</w:t>
      </w:r>
      <w:r w:rsidRPr="00414C3B">
        <w:rPr>
          <w:rFonts w:ascii="Times New Roman" w:hAnsi="Times New Roman" w:cs="Times New Roman"/>
          <w:color w:val="000000" w:themeColor="text1"/>
          <w:sz w:val="24"/>
          <w:szCs w:val="24"/>
        </w:rPr>
        <w:t>, vol. 40, pp. 536–541, 2016.</w:t>
      </w:r>
    </w:p>
    <w:p w14:paraId="2C4BCA67" w14:textId="38C00288"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Y. Lu, “Industry 4.0: A survey on technologies, applications and open research issues,” </w:t>
      </w:r>
      <w:r w:rsidRPr="00414C3B">
        <w:rPr>
          <w:rFonts w:ascii="Times New Roman" w:hAnsi="Times New Roman" w:cs="Times New Roman"/>
          <w:i/>
          <w:iCs/>
          <w:color w:val="000000" w:themeColor="text1"/>
          <w:sz w:val="24"/>
          <w:szCs w:val="24"/>
        </w:rPr>
        <w:t>Journal of Industrial Information Integration</w:t>
      </w:r>
      <w:r w:rsidRPr="00414C3B">
        <w:rPr>
          <w:rFonts w:ascii="Times New Roman" w:hAnsi="Times New Roman" w:cs="Times New Roman"/>
          <w:color w:val="000000" w:themeColor="text1"/>
          <w:sz w:val="24"/>
          <w:szCs w:val="24"/>
        </w:rPr>
        <w:t>, vol. 6, pp. 1–10, 2017.</w:t>
      </w:r>
    </w:p>
    <w:p w14:paraId="72A0AB2E" w14:textId="233A20F2"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lastRenderedPageBreak/>
        <w:t xml:space="preserve">M. Hermann, T. Pentek, and B. Otto, “Design principles for Industrie 4.0 scenarios,” in </w:t>
      </w:r>
      <w:r w:rsidRPr="00414C3B">
        <w:rPr>
          <w:rFonts w:ascii="Times New Roman" w:hAnsi="Times New Roman" w:cs="Times New Roman"/>
          <w:i/>
          <w:iCs/>
          <w:color w:val="000000" w:themeColor="text1"/>
          <w:sz w:val="24"/>
          <w:szCs w:val="24"/>
        </w:rPr>
        <w:t>Proc. 49th Hawaii Int. Conf. System Sciences (HICSS)</w:t>
      </w:r>
      <w:r w:rsidRPr="00414C3B">
        <w:rPr>
          <w:rFonts w:ascii="Times New Roman" w:hAnsi="Times New Roman" w:cs="Times New Roman"/>
          <w:color w:val="000000" w:themeColor="text1"/>
          <w:sz w:val="24"/>
          <w:szCs w:val="24"/>
        </w:rPr>
        <w:t>, pp. 3928–3937, 2016.</w:t>
      </w:r>
    </w:p>
    <w:p w14:paraId="18D3F4C8" w14:textId="1A7BF3B8" w:rsidR="00414C3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Patidar, M. </w:t>
      </w:r>
      <w:r w:rsidRPr="00414C3B">
        <w:rPr>
          <w:rFonts w:ascii="Times New Roman" w:hAnsi="Times New Roman" w:cs="Times New Roman"/>
          <w:i/>
          <w:iCs/>
          <w:color w:val="000000" w:themeColor="text1"/>
          <w:sz w:val="24"/>
          <w:szCs w:val="24"/>
        </w:rPr>
        <w:t>et al.</w:t>
      </w:r>
      <w:r w:rsidRPr="00414C3B">
        <w:rPr>
          <w:rFonts w:ascii="Times New Roman" w:hAnsi="Times New Roman" w:cs="Times New Roman"/>
          <w:color w:val="000000" w:themeColor="text1"/>
          <w:sz w:val="24"/>
          <w:szCs w:val="24"/>
        </w:rPr>
        <w:t xml:space="preserve"> (2024). Efficient Design of Half-Adders and EXOR Gates for Energy-Efficient Quantum Computing with Delay Analysis Using Quantum-Dot Cellular Automata Technology. In: Al-Turjman, F. (eds) The Smart IoT Blueprint: Engineering a Connected Future. AIoTSS 2024. Advances in Science, Technology &amp; Innovation. Springer, Cham. </w:t>
      </w:r>
      <w:r w:rsidRPr="00414C3B">
        <w:rPr>
          <w:rFonts w:ascii="Times New Roman" w:hAnsi="Times New Roman" w:cs="Times New Roman"/>
          <w:color w:val="000000" w:themeColor="text1"/>
          <w:sz w:val="24"/>
          <w:szCs w:val="24"/>
        </w:rPr>
        <w:fldChar w:fldCharType="begin"/>
      </w:r>
      <w:r w:rsidRPr="00414C3B">
        <w:rPr>
          <w:rFonts w:ascii="Times New Roman" w:hAnsi="Times New Roman" w:cs="Times New Roman"/>
          <w:color w:val="000000" w:themeColor="text1"/>
          <w:sz w:val="24"/>
          <w:szCs w:val="24"/>
        </w:rPr>
        <w:instrText>HYPERLINK "https://doi.org/10.1007/978-3-031-63103-0_22"</w:instrText>
      </w:r>
      <w:r w:rsidRPr="00414C3B">
        <w:rPr>
          <w:rFonts w:ascii="Times New Roman" w:hAnsi="Times New Roman" w:cs="Times New Roman"/>
          <w:color w:val="000000" w:themeColor="text1"/>
          <w:sz w:val="24"/>
          <w:szCs w:val="24"/>
        </w:rPr>
        <w:fldChar w:fldCharType="separate"/>
      </w:r>
      <w:r w:rsidRPr="00414C3B">
        <w:rPr>
          <w:rStyle w:val="Hyperlink"/>
          <w:rFonts w:ascii="Times New Roman" w:hAnsi="Times New Roman" w:cs="Times New Roman"/>
          <w:color w:val="000000" w:themeColor="text1"/>
          <w:sz w:val="24"/>
          <w:szCs w:val="24"/>
          <w:u w:val="none"/>
        </w:rPr>
        <w:t>https://doi.org/10.1007/978-3-031-63103-0_22</w:t>
      </w:r>
      <w:r w:rsidRPr="00414C3B">
        <w:rPr>
          <w:rStyle w:val="Hyperlink"/>
          <w:rFonts w:ascii="Times New Roman" w:hAnsi="Times New Roman" w:cs="Times New Roman"/>
          <w:color w:val="000000" w:themeColor="text1"/>
          <w:sz w:val="24"/>
          <w:szCs w:val="24"/>
          <w:u w:val="none"/>
        </w:rPr>
        <w:fldChar w:fldCharType="end"/>
      </w:r>
    </w:p>
    <w:p w14:paraId="41648132" w14:textId="5A470ED9" w:rsidR="00DE73EB" w:rsidRPr="00414C3B" w:rsidRDefault="00414C3B" w:rsidP="00414C3B">
      <w:pPr>
        <w:pStyle w:val="ListParagraph"/>
        <w:numPr>
          <w:ilvl w:val="0"/>
          <w:numId w:val="6"/>
        </w:numPr>
        <w:spacing w:after="120" w:line="240" w:lineRule="auto"/>
        <w:ind w:left="357" w:hanging="357"/>
        <w:contextualSpacing w:val="0"/>
        <w:jc w:val="both"/>
        <w:rPr>
          <w:rFonts w:ascii="Times New Roman" w:hAnsi="Times New Roman" w:cs="Times New Roman"/>
          <w:color w:val="000000" w:themeColor="text1"/>
          <w:sz w:val="24"/>
          <w:szCs w:val="24"/>
        </w:rPr>
      </w:pPr>
      <w:r w:rsidRPr="00414C3B">
        <w:rPr>
          <w:rFonts w:ascii="Times New Roman" w:hAnsi="Times New Roman" w:cs="Times New Roman"/>
          <w:color w:val="000000" w:themeColor="text1"/>
          <w:sz w:val="24"/>
          <w:szCs w:val="24"/>
        </w:rPr>
        <w:t xml:space="preserve">M. Patidar, A. Shrivastava, S. Miah, Y. Kumar, and A. K. </w:t>
      </w:r>
      <w:proofErr w:type="spellStart"/>
      <w:r w:rsidRPr="00414C3B">
        <w:rPr>
          <w:rFonts w:ascii="Times New Roman" w:hAnsi="Times New Roman" w:cs="Times New Roman"/>
          <w:color w:val="000000" w:themeColor="text1"/>
          <w:sz w:val="24"/>
          <w:szCs w:val="24"/>
        </w:rPr>
        <w:t>Sivaraman</w:t>
      </w:r>
      <w:proofErr w:type="spellEnd"/>
      <w:r w:rsidRPr="00414C3B">
        <w:rPr>
          <w:rFonts w:ascii="Times New Roman" w:hAnsi="Times New Roman" w:cs="Times New Roman"/>
          <w:color w:val="000000" w:themeColor="text1"/>
          <w:sz w:val="24"/>
          <w:szCs w:val="24"/>
        </w:rPr>
        <w:t xml:space="preserve">, “An energy efficient high-speed quantum-dot based full adder design and parity gate for nano application,” </w:t>
      </w:r>
      <w:r w:rsidRPr="00414C3B">
        <w:rPr>
          <w:rFonts w:ascii="Times New Roman" w:hAnsi="Times New Roman" w:cs="Times New Roman"/>
          <w:i/>
          <w:iCs/>
          <w:color w:val="000000" w:themeColor="text1"/>
          <w:sz w:val="24"/>
          <w:szCs w:val="24"/>
        </w:rPr>
        <w:t>Materials Today: Proceedings</w:t>
      </w:r>
      <w:r w:rsidRPr="00414C3B">
        <w:rPr>
          <w:rFonts w:ascii="Times New Roman" w:hAnsi="Times New Roman" w:cs="Times New Roman"/>
          <w:color w:val="000000" w:themeColor="text1"/>
          <w:sz w:val="24"/>
          <w:szCs w:val="24"/>
        </w:rPr>
        <w:t xml:space="preserve">, vol. 62, pp. 4880–4890. </w:t>
      </w:r>
      <w:hyperlink r:id="rId12" w:tgtFrame="_blank" w:tooltip="Persistent link using digital object identifier" w:history="1">
        <w:r w:rsidRPr="00414C3B">
          <w:rPr>
            <w:rStyle w:val="Hyperlink"/>
            <w:rFonts w:ascii="Times New Roman" w:hAnsi="Times New Roman" w:cs="Times New Roman"/>
            <w:color w:val="000000" w:themeColor="text1"/>
            <w:sz w:val="24"/>
            <w:szCs w:val="24"/>
            <w:u w:val="none"/>
          </w:rPr>
          <w:t>https://doi.org/10.1016/j.matpr.2022.03.532</w:t>
        </w:r>
      </w:hyperlink>
    </w:p>
    <w:p w14:paraId="47BD2C50" w14:textId="77777777" w:rsidR="00425518" w:rsidRPr="00DE73EB" w:rsidRDefault="00425518" w:rsidP="00E37057">
      <w:pPr>
        <w:tabs>
          <w:tab w:val="left" w:pos="1065"/>
        </w:tabs>
        <w:spacing w:after="0" w:line="276" w:lineRule="auto"/>
        <w:jc w:val="center"/>
        <w:rPr>
          <w:rFonts w:ascii="Times New Roman" w:hAnsi="Times New Roman" w:cs="Times New Roman"/>
          <w:sz w:val="24"/>
          <w:szCs w:val="24"/>
          <w:lang w:val="en-US"/>
        </w:rPr>
      </w:pPr>
    </w:p>
    <w:sectPr w:rsidR="00425518" w:rsidRPr="00DE73EB" w:rsidSect="000167A2">
      <w:headerReference w:type="even" r:id="rId13"/>
      <w:headerReference w:type="default" r:id="rId14"/>
      <w:footerReference w:type="even" r:id="rId15"/>
      <w:footerReference w:type="default" r:id="rId16"/>
      <w:headerReference w:type="first" r:id="rId17"/>
      <w:footerReference w:type="first" r:id="rId18"/>
      <w:pgSz w:w="11906" w:h="16838"/>
      <w:pgMar w:top="851" w:right="850" w:bottom="1276" w:left="1701" w:header="426" w:footer="87" w:gutter="0"/>
      <w:pgNumType w:start="2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67A68" w14:textId="77777777" w:rsidR="00F84B95" w:rsidRDefault="00F84B95" w:rsidP="00406796">
      <w:pPr>
        <w:spacing w:after="0" w:line="240" w:lineRule="auto"/>
      </w:pPr>
      <w:r>
        <w:separator/>
      </w:r>
    </w:p>
  </w:endnote>
  <w:endnote w:type="continuationSeparator" w:id="0">
    <w:p w14:paraId="0E2C2705" w14:textId="77777777" w:rsidR="00F84B95" w:rsidRDefault="00F84B95" w:rsidP="004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A880" w14:textId="77777777" w:rsidR="000167A2" w:rsidRDefault="00016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color w:val="006699"/>
        <w:sz w:val="20"/>
        <w:szCs w:val="20"/>
      </w:rPr>
      <w:id w:val="-725448621"/>
      <w:docPartObj>
        <w:docPartGallery w:val="Page Numbers (Bottom of Page)"/>
        <w:docPartUnique/>
      </w:docPartObj>
    </w:sdtPr>
    <w:sdtEndPr>
      <w:rPr>
        <w:rFonts w:cs="Arial"/>
      </w:rPr>
    </w:sdtEndPr>
    <w:sdtContent>
      <w:p w14:paraId="41BEA6B1" w14:textId="77777777" w:rsidR="002C036C" w:rsidRPr="00CB4DA5" w:rsidRDefault="002C036C" w:rsidP="00425518">
        <w:pPr>
          <w:spacing w:after="0" w:line="240" w:lineRule="auto"/>
          <w:ind w:left="-567" w:right="-284"/>
          <w:jc w:val="center"/>
          <w:rPr>
            <w:rFonts w:ascii="Cambria" w:hAnsi="Cambria" w:cs="Arial"/>
            <w:color w:val="006699"/>
            <w:sz w:val="20"/>
            <w:szCs w:val="20"/>
            <w:lang w:val="en-US"/>
          </w:rPr>
        </w:pPr>
        <w:r w:rsidRPr="00CB4DA5">
          <w:rPr>
            <w:rFonts w:ascii="Cambria" w:hAnsi="Cambria"/>
            <w:color w:val="006699"/>
            <w:sz w:val="28"/>
            <w:szCs w:val="28"/>
          </w:rPr>
          <w:fldChar w:fldCharType="begin"/>
        </w:r>
        <w:r w:rsidRPr="00CB4DA5">
          <w:rPr>
            <w:rFonts w:ascii="Cambria" w:hAnsi="Cambria"/>
            <w:color w:val="006699"/>
            <w:sz w:val="28"/>
            <w:szCs w:val="28"/>
            <w:lang w:val="en-US"/>
          </w:rPr>
          <w:instrText>PAGE   \* MERGEFORMAT</w:instrText>
        </w:r>
        <w:r w:rsidRPr="00CB4DA5">
          <w:rPr>
            <w:rFonts w:ascii="Cambria" w:hAnsi="Cambria"/>
            <w:color w:val="006699"/>
            <w:sz w:val="28"/>
            <w:szCs w:val="28"/>
          </w:rPr>
          <w:fldChar w:fldCharType="separate"/>
        </w:r>
        <w:r w:rsidR="00BD0805">
          <w:rPr>
            <w:rFonts w:ascii="Cambria" w:hAnsi="Cambria"/>
            <w:noProof/>
            <w:color w:val="006699"/>
            <w:sz w:val="28"/>
            <w:szCs w:val="28"/>
            <w:lang w:val="en-US"/>
          </w:rPr>
          <w:t>2</w:t>
        </w:r>
        <w:r w:rsidRPr="00CB4DA5">
          <w:rPr>
            <w:rFonts w:ascii="Cambria" w:hAnsi="Cambria"/>
            <w:color w:val="006699"/>
            <w:sz w:val="28"/>
            <w:szCs w:val="28"/>
          </w:rPr>
          <w:fldChar w:fldCharType="end"/>
        </w:r>
        <w:r w:rsidR="00810FB0" w:rsidRPr="00CB4DA5">
          <w:rPr>
            <w:rFonts w:ascii="Cambria" w:hAnsi="Cambria"/>
            <w:color w:val="006699"/>
            <w:sz w:val="20"/>
            <w:szCs w:val="20"/>
            <w:lang w:val="en-US"/>
          </w:rPr>
          <w:t xml:space="preserve">   </w:t>
        </w:r>
        <w:r w:rsidR="00425518" w:rsidRPr="00425518">
          <w:rPr>
            <w:rFonts w:ascii="Cambria" w:hAnsi="Cambria" w:cs="Arial"/>
            <w:b/>
            <w:color w:val="006699"/>
            <w:sz w:val="20"/>
            <w:szCs w:val="20"/>
            <w:lang w:val="en-US"/>
          </w:rPr>
          <w:t xml:space="preserve">Journal </w:t>
        </w:r>
        <w:r w:rsidR="00DE73EB" w:rsidRPr="00DE73EB">
          <w:rPr>
            <w:rFonts w:ascii="Cambria" w:hAnsi="Cambria" w:cs="Arial"/>
            <w:b/>
            <w:color w:val="006699"/>
            <w:sz w:val="20"/>
            <w:szCs w:val="20"/>
            <w:lang w:val="en-US"/>
          </w:rPr>
          <w:t>of Engineering, Mechanics and Architecture</w:t>
        </w:r>
        <w:r w:rsidR="00E37057" w:rsidRPr="00E37057">
          <w:rPr>
            <w:rFonts w:ascii="Cambria" w:hAnsi="Cambria" w:cs="Arial"/>
            <w:b/>
            <w:color w:val="006699"/>
            <w:sz w:val="20"/>
            <w:szCs w:val="20"/>
            <w:lang w:val="en-US"/>
          </w:rPr>
          <w:t xml:space="preserve">              </w:t>
        </w:r>
        <w:r w:rsidR="008C6A71">
          <w:rPr>
            <w:rFonts w:ascii="Cambria" w:hAnsi="Cambria" w:cs="Arial"/>
            <w:b/>
            <w:color w:val="006699"/>
            <w:sz w:val="20"/>
            <w:szCs w:val="20"/>
            <w:lang w:val="en-US"/>
          </w:rPr>
          <w:tab/>
        </w:r>
        <w:r w:rsidR="008C6A71">
          <w:rPr>
            <w:rFonts w:ascii="Cambria" w:hAnsi="Cambria" w:cs="Arial"/>
            <w:b/>
            <w:color w:val="006699"/>
            <w:sz w:val="20"/>
            <w:szCs w:val="20"/>
            <w:lang w:val="en-US"/>
          </w:rPr>
          <w:tab/>
        </w:r>
        <w:r w:rsidR="008C6A71">
          <w:rPr>
            <w:rFonts w:ascii="Cambria" w:hAnsi="Cambria" w:cs="Arial"/>
            <w:b/>
            <w:color w:val="006699"/>
            <w:sz w:val="20"/>
            <w:szCs w:val="20"/>
            <w:lang w:val="en-US"/>
          </w:rPr>
          <w:tab/>
        </w:r>
        <w:r w:rsidR="00E37057" w:rsidRPr="00E37057">
          <w:rPr>
            <w:rFonts w:ascii="Cambria" w:hAnsi="Cambria" w:cs="Arial"/>
            <w:b/>
            <w:color w:val="006699"/>
            <w:sz w:val="20"/>
            <w:szCs w:val="20"/>
            <w:lang w:val="en-US"/>
          </w:rPr>
          <w:t xml:space="preserve">     </w:t>
        </w:r>
        <w:r w:rsidR="00810FB0" w:rsidRPr="00CB4DA5">
          <w:rPr>
            <w:rFonts w:ascii="Cambria" w:hAnsi="Cambria" w:cs="Arial"/>
            <w:color w:val="006699"/>
            <w:sz w:val="20"/>
            <w:szCs w:val="20"/>
            <w:lang w:val="en-US"/>
          </w:rPr>
          <w:t>www.</w:t>
        </w:r>
        <w:r w:rsidR="00810FB0" w:rsidRPr="00CB4DA5">
          <w:rPr>
            <w:rFonts w:ascii="Cambria" w:hAnsi="Cambria" w:cs="Arial"/>
            <w:i/>
            <w:color w:val="006699"/>
            <w:sz w:val="20"/>
            <w:szCs w:val="20"/>
            <w:lang w:val="en-US"/>
          </w:rPr>
          <w:t xml:space="preserve"> grnjournal.us </w:t>
        </w:r>
      </w:p>
    </w:sdtContent>
  </w:sdt>
  <w:p w14:paraId="4A0DB4BC" w14:textId="77777777" w:rsidR="002C036C" w:rsidRPr="00810FB0" w:rsidRDefault="002C036C" w:rsidP="00406796">
    <w:pPr>
      <w:pStyle w:val="Footer"/>
      <w:ind w:left="-567"/>
      <w:rPr>
        <w:i/>
        <w:lang w:val="en-US"/>
      </w:rPr>
    </w:pPr>
  </w:p>
  <w:p w14:paraId="0ADB615F" w14:textId="77777777" w:rsidR="002C036C" w:rsidRPr="00810FB0" w:rsidRDefault="002C036C">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7278" w14:textId="77777777" w:rsidR="000167A2" w:rsidRDefault="00016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6B519" w14:textId="77777777" w:rsidR="00F84B95" w:rsidRDefault="00F84B95" w:rsidP="00406796">
      <w:pPr>
        <w:spacing w:after="0" w:line="240" w:lineRule="auto"/>
      </w:pPr>
      <w:r>
        <w:separator/>
      </w:r>
    </w:p>
  </w:footnote>
  <w:footnote w:type="continuationSeparator" w:id="0">
    <w:p w14:paraId="33CA71C9" w14:textId="77777777" w:rsidR="00F84B95" w:rsidRDefault="00F84B95" w:rsidP="00406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E0AB" w14:textId="77777777" w:rsidR="000167A2" w:rsidRDefault="000167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5B94" w14:textId="77777777" w:rsidR="000167A2" w:rsidRDefault="000167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D4D9" w14:textId="77777777" w:rsidR="000167A2" w:rsidRDefault="000167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A71C6"/>
    <w:multiLevelType w:val="hybridMultilevel"/>
    <w:tmpl w:val="3162C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885814"/>
    <w:multiLevelType w:val="multilevel"/>
    <w:tmpl w:val="6F0C94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513404A5"/>
    <w:multiLevelType w:val="hybridMultilevel"/>
    <w:tmpl w:val="B0CE634E"/>
    <w:lvl w:ilvl="0" w:tplc="EF8C6E8E">
      <w:start w:val="1"/>
      <w:numFmt w:val="decimal"/>
      <w:lvlText w:val="%1."/>
      <w:lvlJc w:val="left"/>
      <w:pPr>
        <w:ind w:left="1908"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 w15:restartNumberingAfterBreak="0">
    <w:nsid w:val="5A232E79"/>
    <w:multiLevelType w:val="hybridMultilevel"/>
    <w:tmpl w:val="A364D3D4"/>
    <w:lvl w:ilvl="0" w:tplc="EF8C6E8E">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4" w15:restartNumberingAfterBreak="0">
    <w:nsid w:val="6D3306D0"/>
    <w:multiLevelType w:val="hybridMultilevel"/>
    <w:tmpl w:val="2944922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7FCC039B"/>
    <w:multiLevelType w:val="hybridMultilevel"/>
    <w:tmpl w:val="1B028C68"/>
    <w:lvl w:ilvl="0" w:tplc="0419000F">
      <w:start w:val="1"/>
      <w:numFmt w:val="decimal"/>
      <w:lvlText w:val="%1."/>
      <w:lvlJc w:val="left"/>
      <w:pPr>
        <w:ind w:left="1442" w:hanging="360"/>
      </w:pPr>
    </w:lvl>
    <w:lvl w:ilvl="1" w:tplc="04190019" w:tentative="1">
      <w:start w:val="1"/>
      <w:numFmt w:val="lowerLetter"/>
      <w:lvlText w:val="%2."/>
      <w:lvlJc w:val="left"/>
      <w:pPr>
        <w:ind w:left="2162" w:hanging="360"/>
      </w:pPr>
    </w:lvl>
    <w:lvl w:ilvl="2" w:tplc="0419001B" w:tentative="1">
      <w:start w:val="1"/>
      <w:numFmt w:val="lowerRoman"/>
      <w:lvlText w:val="%3."/>
      <w:lvlJc w:val="right"/>
      <w:pPr>
        <w:ind w:left="2882" w:hanging="180"/>
      </w:pPr>
    </w:lvl>
    <w:lvl w:ilvl="3" w:tplc="0419000F" w:tentative="1">
      <w:start w:val="1"/>
      <w:numFmt w:val="decimal"/>
      <w:lvlText w:val="%4."/>
      <w:lvlJc w:val="left"/>
      <w:pPr>
        <w:ind w:left="3602" w:hanging="360"/>
      </w:pPr>
    </w:lvl>
    <w:lvl w:ilvl="4" w:tplc="04190019" w:tentative="1">
      <w:start w:val="1"/>
      <w:numFmt w:val="lowerLetter"/>
      <w:lvlText w:val="%5."/>
      <w:lvlJc w:val="left"/>
      <w:pPr>
        <w:ind w:left="4322" w:hanging="360"/>
      </w:pPr>
    </w:lvl>
    <w:lvl w:ilvl="5" w:tplc="0419001B" w:tentative="1">
      <w:start w:val="1"/>
      <w:numFmt w:val="lowerRoman"/>
      <w:lvlText w:val="%6."/>
      <w:lvlJc w:val="right"/>
      <w:pPr>
        <w:ind w:left="5042" w:hanging="180"/>
      </w:pPr>
    </w:lvl>
    <w:lvl w:ilvl="6" w:tplc="0419000F" w:tentative="1">
      <w:start w:val="1"/>
      <w:numFmt w:val="decimal"/>
      <w:lvlText w:val="%7."/>
      <w:lvlJc w:val="left"/>
      <w:pPr>
        <w:ind w:left="5762" w:hanging="360"/>
      </w:pPr>
    </w:lvl>
    <w:lvl w:ilvl="7" w:tplc="04190019" w:tentative="1">
      <w:start w:val="1"/>
      <w:numFmt w:val="lowerLetter"/>
      <w:lvlText w:val="%8."/>
      <w:lvlJc w:val="left"/>
      <w:pPr>
        <w:ind w:left="6482" w:hanging="360"/>
      </w:pPr>
    </w:lvl>
    <w:lvl w:ilvl="8" w:tplc="0419001B" w:tentative="1">
      <w:start w:val="1"/>
      <w:numFmt w:val="lowerRoman"/>
      <w:lvlText w:val="%9."/>
      <w:lvlJc w:val="right"/>
      <w:pPr>
        <w:ind w:left="7202" w:hanging="180"/>
      </w:pPr>
    </w:lvl>
  </w:abstractNum>
  <w:num w:numId="1" w16cid:durableId="817306928">
    <w:abstractNumId w:val="5"/>
  </w:num>
  <w:num w:numId="2" w16cid:durableId="29456603">
    <w:abstractNumId w:val="0"/>
  </w:num>
  <w:num w:numId="3" w16cid:durableId="170418678">
    <w:abstractNumId w:val="3"/>
  </w:num>
  <w:num w:numId="4" w16cid:durableId="1678968821">
    <w:abstractNumId w:val="2"/>
  </w:num>
  <w:num w:numId="5" w16cid:durableId="623390613">
    <w:abstractNumId w:val="1"/>
  </w:num>
  <w:num w:numId="6" w16cid:durableId="419832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796"/>
    <w:rsid w:val="000057D5"/>
    <w:rsid w:val="000167A2"/>
    <w:rsid w:val="00017CBE"/>
    <w:rsid w:val="00074A4F"/>
    <w:rsid w:val="00085B9C"/>
    <w:rsid w:val="00105587"/>
    <w:rsid w:val="00177F6F"/>
    <w:rsid w:val="001B2458"/>
    <w:rsid w:val="002A0009"/>
    <w:rsid w:val="002C036C"/>
    <w:rsid w:val="002C7E24"/>
    <w:rsid w:val="00351C80"/>
    <w:rsid w:val="00354903"/>
    <w:rsid w:val="003F4854"/>
    <w:rsid w:val="00400B40"/>
    <w:rsid w:val="00406796"/>
    <w:rsid w:val="004128F9"/>
    <w:rsid w:val="00414C3B"/>
    <w:rsid w:val="00425518"/>
    <w:rsid w:val="0044516E"/>
    <w:rsid w:val="00460161"/>
    <w:rsid w:val="00473CA1"/>
    <w:rsid w:val="004E0F0F"/>
    <w:rsid w:val="00506721"/>
    <w:rsid w:val="00523EC0"/>
    <w:rsid w:val="005264FF"/>
    <w:rsid w:val="005D3ACF"/>
    <w:rsid w:val="005E0260"/>
    <w:rsid w:val="00765C8B"/>
    <w:rsid w:val="00796E23"/>
    <w:rsid w:val="007A0702"/>
    <w:rsid w:val="007D22AA"/>
    <w:rsid w:val="007E1FCD"/>
    <w:rsid w:val="00810FB0"/>
    <w:rsid w:val="0088152E"/>
    <w:rsid w:val="008C6A71"/>
    <w:rsid w:val="008E02B8"/>
    <w:rsid w:val="0094252A"/>
    <w:rsid w:val="009F7EAF"/>
    <w:rsid w:val="00A02C4C"/>
    <w:rsid w:val="00B6515E"/>
    <w:rsid w:val="00B85066"/>
    <w:rsid w:val="00BA1AED"/>
    <w:rsid w:val="00BD0805"/>
    <w:rsid w:val="00C56ED7"/>
    <w:rsid w:val="00C71EB5"/>
    <w:rsid w:val="00C808FB"/>
    <w:rsid w:val="00CB4DA5"/>
    <w:rsid w:val="00D461F8"/>
    <w:rsid w:val="00D7790C"/>
    <w:rsid w:val="00D77DB4"/>
    <w:rsid w:val="00DE73EB"/>
    <w:rsid w:val="00E37057"/>
    <w:rsid w:val="00E866D1"/>
    <w:rsid w:val="00EC43E3"/>
    <w:rsid w:val="00EF66AE"/>
    <w:rsid w:val="00EF7C6B"/>
    <w:rsid w:val="00F0016A"/>
    <w:rsid w:val="00F84B95"/>
    <w:rsid w:val="00F943D2"/>
    <w:rsid w:val="00FB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879C19"/>
  <w15:docId w15:val="{3366ABA5-2084-4C2B-AD0A-FB815020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7">
    <w:name w:val="heading 7"/>
    <w:basedOn w:val="Normal"/>
    <w:next w:val="Normal"/>
    <w:link w:val="Heading7Char"/>
    <w:uiPriority w:val="9"/>
    <w:semiHidden/>
    <w:unhideWhenUsed/>
    <w:qFormat/>
    <w:rsid w:val="00414C3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6796"/>
    <w:rPr>
      <w:rFonts w:ascii="Times New Roman" w:eastAsia="Times New Roman" w:hAnsi="Times New Roman" w:cs="Times New Roman"/>
      <w:b/>
      <w:bCs/>
      <w:sz w:val="27"/>
      <w:szCs w:val="27"/>
      <w:lang w:eastAsia="ru-RU"/>
    </w:rPr>
  </w:style>
  <w:style w:type="character" w:styleId="Hyperlink">
    <w:name w:val="Hyperlink"/>
    <w:basedOn w:val="DefaultParagraphFont"/>
    <w:uiPriority w:val="99"/>
    <w:unhideWhenUsed/>
    <w:rsid w:val="00406796"/>
    <w:rPr>
      <w:color w:val="0000FF"/>
      <w:u w:val="single"/>
    </w:rPr>
  </w:style>
  <w:style w:type="paragraph" w:styleId="Header">
    <w:name w:val="header"/>
    <w:basedOn w:val="Normal"/>
    <w:link w:val="HeaderChar"/>
    <w:uiPriority w:val="99"/>
    <w:unhideWhenUsed/>
    <w:rsid w:val="00406796"/>
    <w:pPr>
      <w:tabs>
        <w:tab w:val="center" w:pos="4677"/>
        <w:tab w:val="right" w:pos="9355"/>
      </w:tabs>
      <w:spacing w:after="0" w:line="240" w:lineRule="auto"/>
    </w:pPr>
  </w:style>
  <w:style w:type="character" w:customStyle="1" w:styleId="HeaderChar">
    <w:name w:val="Header Char"/>
    <w:basedOn w:val="DefaultParagraphFont"/>
    <w:link w:val="Header"/>
    <w:uiPriority w:val="99"/>
    <w:rsid w:val="00406796"/>
  </w:style>
  <w:style w:type="paragraph" w:styleId="Footer">
    <w:name w:val="footer"/>
    <w:basedOn w:val="Normal"/>
    <w:link w:val="FooterChar"/>
    <w:uiPriority w:val="99"/>
    <w:unhideWhenUsed/>
    <w:rsid w:val="00406796"/>
    <w:pPr>
      <w:tabs>
        <w:tab w:val="center" w:pos="4677"/>
        <w:tab w:val="right" w:pos="9355"/>
      </w:tabs>
      <w:spacing w:after="0" w:line="240" w:lineRule="auto"/>
    </w:pPr>
  </w:style>
  <w:style w:type="character" w:customStyle="1" w:styleId="FooterChar">
    <w:name w:val="Footer Char"/>
    <w:basedOn w:val="DefaultParagraphFont"/>
    <w:link w:val="Footer"/>
    <w:uiPriority w:val="99"/>
    <w:rsid w:val="00406796"/>
  </w:style>
  <w:style w:type="paragraph" w:styleId="ListParagraph">
    <w:name w:val="List Paragraph"/>
    <w:basedOn w:val="Normal"/>
    <w:uiPriority w:val="34"/>
    <w:qFormat/>
    <w:rsid w:val="00105587"/>
    <w:pPr>
      <w:ind w:left="720"/>
      <w:contextualSpacing/>
    </w:pPr>
    <w:rPr>
      <w:lang w:val="en-US"/>
    </w:rPr>
  </w:style>
  <w:style w:type="paragraph" w:customStyle="1" w:styleId="Default">
    <w:name w:val="Default"/>
    <w:rsid w:val="004255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3">
    <w:name w:val="A3"/>
    <w:uiPriority w:val="99"/>
    <w:rsid w:val="00425518"/>
    <w:rPr>
      <w:rFonts w:cs="Cambria"/>
      <w:b/>
      <w:bCs/>
      <w:color w:val="000000"/>
      <w:sz w:val="40"/>
      <w:szCs w:val="40"/>
    </w:rPr>
  </w:style>
  <w:style w:type="table" w:styleId="TableGrid">
    <w:name w:val="Table Grid"/>
    <w:basedOn w:val="TableNormal"/>
    <w:uiPriority w:val="39"/>
    <w:rsid w:val="004255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7057"/>
    <w:rPr>
      <w:b/>
      <w:bCs/>
    </w:rPr>
  </w:style>
  <w:style w:type="paragraph" w:styleId="NormalWeb">
    <w:name w:val="Normal (Web)"/>
    <w:basedOn w:val="Normal"/>
    <w:uiPriority w:val="99"/>
    <w:rsid w:val="00E370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DE73EB"/>
    <w:pPr>
      <w:spacing w:after="0" w:line="240" w:lineRule="auto"/>
    </w:pPr>
    <w:rPr>
      <w:lang w:val="en-US"/>
    </w:rPr>
  </w:style>
  <w:style w:type="character" w:customStyle="1" w:styleId="Heading7Char">
    <w:name w:val="Heading 7 Char"/>
    <w:basedOn w:val="DefaultParagraphFont"/>
    <w:link w:val="Heading7"/>
    <w:uiPriority w:val="9"/>
    <w:semiHidden/>
    <w:rsid w:val="00414C3B"/>
    <w:rPr>
      <w:rFonts w:asciiTheme="majorHAnsi" w:eastAsiaTheme="majorEastAsia" w:hAnsiTheme="majorHAnsi" w:cstheme="majorBidi"/>
      <w:i/>
      <w:iCs/>
      <w:color w:val="1F4D78" w:themeColor="accent1" w:themeShade="7F"/>
    </w:rPr>
  </w:style>
  <w:style w:type="table" w:styleId="GridTable4-Accent1">
    <w:name w:val="Grid Table 4 Accent 1"/>
    <w:basedOn w:val="TableNormal"/>
    <w:uiPriority w:val="49"/>
    <w:rsid w:val="00414C3B"/>
    <w:pPr>
      <w:spacing w:after="0" w:line="240" w:lineRule="auto"/>
    </w:pPr>
    <w:rPr>
      <w:kern w:val="2"/>
      <w:sz w:val="24"/>
      <w:szCs w:val="24"/>
      <w:lang w:val="en-IN"/>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4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16/j.matpr.2022.03.53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matpr.2022.06.17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Sheet2!$B$1:$B$3</c:f>
              <c:strCache>
                <c:ptCount val="3"/>
                <c:pt idx="0">
                  <c:v>able X: Quality Performance Comparison</c:v>
                </c:pt>
                <c:pt idx="2">
                  <c:v>Conventional</c:v>
                </c:pt>
              </c:strCache>
            </c:strRef>
          </c:tx>
          <c:spPr>
            <a:solidFill>
              <a:schemeClr val="accent1"/>
            </a:solidFill>
            <a:ln>
              <a:noFill/>
            </a:ln>
            <a:effectLst/>
          </c:spPr>
          <c:invertIfNegative val="0"/>
          <c:cat>
            <c:strRef>
              <c:f>Sheet2!$A$4:$A$7</c:f>
              <c:strCache>
                <c:ptCount val="4"/>
                <c:pt idx="0">
                  <c:v>Scrap Rate (%)</c:v>
                </c:pt>
                <c:pt idx="1">
                  <c:v>Rework Rate (%)</c:v>
                </c:pt>
                <c:pt idx="2">
                  <c:v>Dimensional Accuracy (%)</c:v>
                </c:pt>
                <c:pt idx="3">
                  <c:v>First-Pass Yield (%)</c:v>
                </c:pt>
              </c:strCache>
            </c:strRef>
          </c:cat>
          <c:val>
            <c:numRef>
              <c:f>Sheet2!$B$4:$B$7</c:f>
              <c:numCache>
                <c:formatCode>General</c:formatCode>
                <c:ptCount val="4"/>
                <c:pt idx="0">
                  <c:v>8.1999999999999993</c:v>
                </c:pt>
                <c:pt idx="1">
                  <c:v>6.1</c:v>
                </c:pt>
                <c:pt idx="2">
                  <c:v>92</c:v>
                </c:pt>
                <c:pt idx="3">
                  <c:v>86</c:v>
                </c:pt>
              </c:numCache>
            </c:numRef>
          </c:val>
          <c:extLst>
            <c:ext xmlns:c16="http://schemas.microsoft.com/office/drawing/2014/chart" uri="{C3380CC4-5D6E-409C-BE32-E72D297353CC}">
              <c16:uniqueId val="{00000000-A8FD-4088-B384-6732FA815C16}"/>
            </c:ext>
          </c:extLst>
        </c:ser>
        <c:ser>
          <c:idx val="1"/>
          <c:order val="1"/>
          <c:tx>
            <c:strRef>
              <c:f>Sheet2!$C$1:$C$3</c:f>
              <c:strCache>
                <c:ptCount val="3"/>
                <c:pt idx="0">
                  <c:v>able X: Quality Performance Comparison</c:v>
                </c:pt>
                <c:pt idx="2">
                  <c:v>Proposed Framework</c:v>
                </c:pt>
              </c:strCache>
            </c:strRef>
          </c:tx>
          <c:spPr>
            <a:solidFill>
              <a:schemeClr val="accent2"/>
            </a:solidFill>
            <a:ln>
              <a:noFill/>
            </a:ln>
            <a:effectLst/>
          </c:spPr>
          <c:invertIfNegative val="0"/>
          <c:cat>
            <c:strRef>
              <c:f>Sheet2!$A$4:$A$7</c:f>
              <c:strCache>
                <c:ptCount val="4"/>
                <c:pt idx="0">
                  <c:v>Scrap Rate (%)</c:v>
                </c:pt>
                <c:pt idx="1">
                  <c:v>Rework Rate (%)</c:v>
                </c:pt>
                <c:pt idx="2">
                  <c:v>Dimensional Accuracy (%)</c:v>
                </c:pt>
                <c:pt idx="3">
                  <c:v>First-Pass Yield (%)</c:v>
                </c:pt>
              </c:strCache>
            </c:strRef>
          </c:cat>
          <c:val>
            <c:numRef>
              <c:f>Sheet2!$C$4:$C$7</c:f>
              <c:numCache>
                <c:formatCode>General</c:formatCode>
                <c:ptCount val="4"/>
                <c:pt idx="0">
                  <c:v>3.5</c:v>
                </c:pt>
                <c:pt idx="1">
                  <c:v>2.4</c:v>
                </c:pt>
                <c:pt idx="2">
                  <c:v>98</c:v>
                </c:pt>
                <c:pt idx="3">
                  <c:v>95</c:v>
                </c:pt>
              </c:numCache>
            </c:numRef>
          </c:val>
          <c:extLst>
            <c:ext xmlns:c16="http://schemas.microsoft.com/office/drawing/2014/chart" uri="{C3380CC4-5D6E-409C-BE32-E72D297353CC}">
              <c16:uniqueId val="{00000001-A8FD-4088-B384-6732FA815C16}"/>
            </c:ext>
          </c:extLst>
        </c:ser>
        <c:dLbls>
          <c:showLegendKey val="0"/>
          <c:showVal val="0"/>
          <c:showCatName val="0"/>
          <c:showSerName val="0"/>
          <c:showPercent val="0"/>
          <c:showBubbleSize val="0"/>
        </c:dLbls>
        <c:gapWidth val="219"/>
        <c:overlap val="-27"/>
        <c:axId val="141729216"/>
        <c:axId val="141728736"/>
      </c:barChart>
      <c:catAx>
        <c:axId val="1417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728736"/>
        <c:crosses val="autoZero"/>
        <c:auto val="1"/>
        <c:lblAlgn val="ctr"/>
        <c:lblOffset val="100"/>
        <c:noMultiLvlLbl val="0"/>
      </c:catAx>
      <c:valAx>
        <c:axId val="14172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72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3215</Words>
  <Characters>18326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Defender</dc:creator>
  <cp:keywords/>
  <dc:description/>
  <cp:lastModifiedBy>ADMIN</cp:lastModifiedBy>
  <cp:revision>37</cp:revision>
  <cp:lastPrinted>2023-03-14T11:55:00Z</cp:lastPrinted>
  <dcterms:created xsi:type="dcterms:W3CDTF">2023-03-15T04:44:00Z</dcterms:created>
  <dcterms:modified xsi:type="dcterms:W3CDTF">2026-03-05T05:29:00Z</dcterms:modified>
</cp:coreProperties>
</file>